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714" w:tblpY="19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20"/>
        <w:gridCol w:w="1420"/>
        <w:gridCol w:w="1420"/>
        <w:gridCol w:w="1421"/>
        <w:gridCol w:w="1422"/>
      </w:tblGrid>
      <w:tr w14:paraId="3DB6B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vAlign w:val="center"/>
          </w:tcPr>
          <w:p w14:paraId="27C63C4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lang w:val="en-US" w:eastAsia="zh-CN"/>
              </w:rPr>
            </w:pPr>
            <w:r>
              <w:rPr>
                <w:rFonts w:hint="eastAsia" w:eastAsia="宋体" w:cs="Times New Roman"/>
                <w:sz w:val="32"/>
                <w:szCs w:val="32"/>
                <w:vertAlign w:val="baseline"/>
                <w:lang w:val="en-US" w:eastAsia="zh-CN"/>
              </w:rPr>
              <w:t>分析</w:t>
            </w:r>
            <w:r>
              <w:rPr>
                <w:rFonts w:hint="default" w:ascii="Times New Roman" w:hAnsi="Times New Roman" w:eastAsia="宋体" w:cs="Times New Roman"/>
                <w:sz w:val="32"/>
                <w:szCs w:val="32"/>
                <w:vertAlign w:val="baseline"/>
                <w:lang w:val="en-US" w:eastAsia="zh-CN"/>
              </w:rPr>
              <w:t>交接单</w:t>
            </w:r>
          </w:p>
        </w:tc>
      </w:tr>
      <w:tr w14:paraId="14147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6845E43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客户姓名</w:t>
            </w:r>
          </w:p>
        </w:tc>
        <w:tc>
          <w:tcPr>
            <w:tcW w:w="1420" w:type="dxa"/>
            <w:vAlign w:val="center"/>
          </w:tcPr>
          <w:p w14:paraId="10ABE5E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rPr>
            </w:pPr>
          </w:p>
        </w:tc>
        <w:tc>
          <w:tcPr>
            <w:tcW w:w="1420" w:type="dxa"/>
            <w:vAlign w:val="center"/>
          </w:tcPr>
          <w:p w14:paraId="645EFA0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客户单位</w:t>
            </w:r>
          </w:p>
        </w:tc>
        <w:tc>
          <w:tcPr>
            <w:tcW w:w="1420" w:type="dxa"/>
            <w:vAlign w:val="center"/>
          </w:tcPr>
          <w:p w14:paraId="2C012F3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rPr>
            </w:pPr>
          </w:p>
        </w:tc>
        <w:tc>
          <w:tcPr>
            <w:tcW w:w="1421" w:type="dxa"/>
            <w:vAlign w:val="center"/>
          </w:tcPr>
          <w:p w14:paraId="50DB7E2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联系电话</w:t>
            </w:r>
          </w:p>
        </w:tc>
        <w:tc>
          <w:tcPr>
            <w:tcW w:w="1422" w:type="dxa"/>
            <w:vAlign w:val="center"/>
          </w:tcPr>
          <w:p w14:paraId="6DE3381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rPr>
            </w:pPr>
          </w:p>
        </w:tc>
      </w:tr>
      <w:tr w14:paraId="79D3B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6BA85BF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cs="Times New Roman"/>
                <w:sz w:val="28"/>
                <w:szCs w:val="28"/>
                <w:vertAlign w:val="baseline"/>
                <w:lang w:val="en-US" w:eastAsia="zh-CN"/>
              </w:rPr>
            </w:pPr>
            <w:r>
              <w:rPr>
                <w:rFonts w:hint="eastAsia" w:eastAsia="宋体" w:cs="Times New Roman"/>
                <w:sz w:val="28"/>
                <w:szCs w:val="28"/>
                <w:vertAlign w:val="baseline"/>
                <w:lang w:val="en-US" w:eastAsia="zh-CN"/>
              </w:rPr>
              <w:t>样本类型</w:t>
            </w:r>
          </w:p>
        </w:tc>
        <w:tc>
          <w:tcPr>
            <w:tcW w:w="7103" w:type="dxa"/>
            <w:gridSpan w:val="5"/>
            <w:vAlign w:val="center"/>
          </w:tcPr>
          <w:p w14:paraId="72ED04F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cs="Times New Roman"/>
                <w:color w:val="0000FF"/>
                <w:sz w:val="24"/>
                <w:szCs w:val="24"/>
                <w:vertAlign w:val="baseline"/>
                <w:lang w:val="en-US" w:eastAsia="zh-CN"/>
              </w:rPr>
            </w:pPr>
            <w:r>
              <w:rPr>
                <w:rFonts w:hint="eastAsia" w:eastAsia="宋体" w:cs="Times New Roman"/>
                <w:color w:val="0000FF"/>
                <w:sz w:val="24"/>
                <w:szCs w:val="24"/>
                <w:vertAlign w:val="baseline"/>
                <w:lang w:val="en-US" w:eastAsia="zh-CN"/>
              </w:rPr>
              <w:t>肠</w:t>
            </w:r>
          </w:p>
        </w:tc>
      </w:tr>
      <w:tr w14:paraId="314C4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3115769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lang w:val="en-US" w:eastAsia="zh-CN"/>
              </w:rPr>
            </w:pPr>
            <w:r>
              <w:rPr>
                <w:rFonts w:hint="eastAsia" w:eastAsia="宋体" w:cs="Times New Roman"/>
                <w:sz w:val="28"/>
                <w:szCs w:val="28"/>
                <w:vertAlign w:val="baseline"/>
                <w:lang w:val="en-US" w:eastAsia="zh-CN"/>
              </w:rPr>
              <w:t>分析对象</w:t>
            </w:r>
          </w:p>
        </w:tc>
        <w:tc>
          <w:tcPr>
            <w:tcW w:w="7103" w:type="dxa"/>
            <w:gridSpan w:val="5"/>
            <w:vAlign w:val="center"/>
          </w:tcPr>
          <w:p w14:paraId="0FA6BCE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sz w:val="28"/>
                <w:szCs w:val="28"/>
                <w:vertAlign w:val="baseline"/>
                <w:lang w:val="en-US" w:eastAsia="zh-CN"/>
              </w:rPr>
            </w:pPr>
            <w:r>
              <w:rPr>
                <w:rFonts w:hint="eastAsia" w:eastAsia="宋体" w:cs="Times New Roman"/>
                <w:color w:val="0000FF"/>
                <w:sz w:val="24"/>
                <w:szCs w:val="24"/>
                <w:vertAlign w:val="baseline"/>
                <w:lang w:val="en-US" w:eastAsia="zh-CN"/>
              </w:rPr>
              <w:t>芯片/图片/全景扫描件/特定ROI/特定区域</w:t>
            </w:r>
          </w:p>
        </w:tc>
      </w:tr>
      <w:tr w14:paraId="038B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4" w:hRule="atLeast"/>
        </w:trPr>
        <w:tc>
          <w:tcPr>
            <w:tcW w:w="8522" w:type="dxa"/>
            <w:gridSpan w:val="6"/>
            <w:vAlign w:val="top"/>
          </w:tcPr>
          <w:p w14:paraId="6AB2AFDB">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cs="Times New Roman"/>
                <w:sz w:val="28"/>
                <w:szCs w:val="28"/>
                <w:vertAlign w:val="baseline"/>
                <w:lang w:val="en-US" w:eastAsia="zh-CN"/>
              </w:rPr>
            </w:pPr>
            <w:r>
              <w:rPr>
                <w:rFonts w:hint="eastAsia" w:eastAsia="宋体" w:cs="Times New Roman"/>
                <w:sz w:val="28"/>
                <w:szCs w:val="28"/>
                <w:vertAlign w:val="baseline"/>
                <w:lang w:val="en-US" w:eastAsia="zh-CN"/>
              </w:rPr>
              <w:t>分析内容</w:t>
            </w:r>
            <w:r>
              <w:rPr>
                <w:rFonts w:hint="eastAsia" w:ascii="Times New Roman" w:hAnsi="Times New Roman" w:eastAsia="宋体" w:cs="Times New Roman"/>
                <w:sz w:val="28"/>
                <w:szCs w:val="28"/>
                <w:vertAlign w:val="baseline"/>
                <w:lang w:val="en-US" w:eastAsia="zh-CN"/>
              </w:rPr>
              <w:t>：（</w:t>
            </w:r>
            <w:r>
              <w:rPr>
                <w:rFonts w:hint="eastAsia" w:eastAsia="宋体" w:cs="Times New Roman"/>
                <w:sz w:val="28"/>
                <w:szCs w:val="28"/>
                <w:vertAlign w:val="baseline"/>
                <w:lang w:val="en-US" w:eastAsia="zh-CN"/>
              </w:rPr>
              <w:t>可参考下文清单</w:t>
            </w:r>
            <w:r>
              <w:rPr>
                <w:rFonts w:hint="eastAsia" w:ascii="Times New Roman" w:hAnsi="Times New Roman" w:eastAsia="宋体" w:cs="Times New Roman"/>
                <w:sz w:val="28"/>
                <w:szCs w:val="28"/>
                <w:vertAlign w:val="baseline"/>
                <w:lang w:val="en-US" w:eastAsia="zh-CN"/>
              </w:rPr>
              <w:t>）</w:t>
            </w:r>
          </w:p>
          <w:p w14:paraId="5835C3EB">
            <w:pPr>
              <w:keepNext w:val="0"/>
              <w:keepLines w:val="0"/>
              <w:pageBreakBefore w:val="0"/>
              <w:widowControl w:val="0"/>
              <w:numPr>
                <w:ilvl w:val="0"/>
                <w:numId w:val="1"/>
              </w:numPr>
              <w:kinsoku/>
              <w:wordWrap/>
              <w:overflowPunct/>
              <w:topLinePunct w:val="0"/>
              <w:autoSpaceDE/>
              <w:autoSpaceDN/>
              <w:bidi w:val="0"/>
              <w:adjustRightInd/>
              <w:snapToGrid/>
              <w:ind w:firstLine="0" w:firstLineChars="0"/>
              <w:jc w:val="both"/>
              <w:textAlignment w:val="auto"/>
              <w:rPr>
                <w:rFonts w:hint="default" w:ascii="Times New Roman" w:hAnsi="Times New Roman" w:eastAsia="宋体" w:cs="Times New Roman"/>
                <w:color w:val="0000FF"/>
                <w:sz w:val="24"/>
                <w:szCs w:val="24"/>
                <w:vertAlign w:val="baseline"/>
                <w:lang w:val="en-US" w:eastAsia="zh-CN"/>
              </w:rPr>
            </w:pPr>
            <w:r>
              <w:rPr>
                <w:rFonts w:hint="default" w:ascii="Times New Roman" w:hAnsi="Times New Roman" w:eastAsia="宋体" w:cs="Times New Roman"/>
                <w:color w:val="0000FF"/>
                <w:sz w:val="24"/>
                <w:szCs w:val="24"/>
                <w:vertAlign w:val="baseline"/>
                <w:lang w:val="en-US" w:eastAsia="zh-CN"/>
              </w:rPr>
              <w:t>阳性率：CD3、CD8、CD3+CD8</w:t>
            </w:r>
          </w:p>
          <w:p w14:paraId="220F41C6">
            <w:pPr>
              <w:keepNext w:val="0"/>
              <w:keepLines w:val="0"/>
              <w:pageBreakBefore w:val="0"/>
              <w:widowControl w:val="0"/>
              <w:numPr>
                <w:ilvl w:val="0"/>
                <w:numId w:val="1"/>
              </w:numPr>
              <w:kinsoku/>
              <w:wordWrap/>
              <w:overflowPunct/>
              <w:topLinePunct w:val="0"/>
              <w:autoSpaceDE/>
              <w:autoSpaceDN/>
              <w:bidi w:val="0"/>
              <w:adjustRightInd/>
              <w:snapToGrid/>
              <w:ind w:firstLine="0" w:firstLineChars="0"/>
              <w:jc w:val="both"/>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color w:val="0000FF"/>
                <w:sz w:val="24"/>
                <w:szCs w:val="24"/>
                <w:vertAlign w:val="baseline"/>
                <w:lang w:val="en-US" w:eastAsia="zh-CN"/>
              </w:rPr>
              <w:t>Panck标记的细胞周围200μm范围之内CD8标记的细胞数量</w:t>
            </w:r>
          </w:p>
          <w:p w14:paraId="0640A245">
            <w:pPr>
              <w:keepNext w:val="0"/>
              <w:keepLines w:val="0"/>
              <w:pageBreakBefore w:val="0"/>
              <w:widowControl w:val="0"/>
              <w:numPr>
                <w:ilvl w:val="0"/>
                <w:numId w:val="0"/>
              </w:numPr>
              <w:kinsoku/>
              <w:wordWrap/>
              <w:overflowPunct/>
              <w:topLinePunct w:val="0"/>
              <w:autoSpaceDE/>
              <w:autoSpaceDN/>
              <w:bidi w:val="0"/>
              <w:adjustRightInd/>
              <w:snapToGrid/>
              <w:ind w:firstLine="240" w:firstLineChars="100"/>
              <w:jc w:val="both"/>
              <w:textAlignment w:val="auto"/>
              <w:rPr>
                <w:rFonts w:hint="default" w:ascii="Times New Roman" w:hAnsi="Times New Roman" w:eastAsia="宋体" w:cs="Times New Roman"/>
                <w:sz w:val="28"/>
                <w:szCs w:val="28"/>
                <w:vertAlign w:val="baseline"/>
                <w:lang w:val="en-US" w:eastAsia="zh-CN"/>
              </w:rPr>
            </w:pPr>
            <w:r>
              <w:rPr>
                <w:rFonts w:hint="eastAsia" w:eastAsia="宋体" w:cs="Times New Roman"/>
                <w:color w:val="FF0000"/>
                <w:sz w:val="24"/>
                <w:szCs w:val="24"/>
                <w:vertAlign w:val="baseline"/>
                <w:lang w:val="en-US" w:eastAsia="zh-CN"/>
              </w:rPr>
              <w:t>（植物的分析内容需要提前咨询技术进行评估可行性）</w:t>
            </w:r>
          </w:p>
        </w:tc>
      </w:tr>
    </w:tbl>
    <w:p w14:paraId="16F9E3DD">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eastAsia"/>
          <w:lang w:val="en-US" w:eastAsia="zh-CN"/>
        </w:rPr>
        <w:sectPr>
          <w:headerReference r:id="rId5" w:type="default"/>
          <w:footerReference r:id="rId6" w:type="default"/>
          <w:pgSz w:w="11906" w:h="16838"/>
          <w:pgMar w:top="1440" w:right="1800" w:bottom="1440" w:left="1800" w:header="851" w:footer="992" w:gutter="0"/>
          <w:cols w:space="425" w:num="1"/>
          <w:docGrid w:type="lines" w:linePitch="312" w:charSpace="0"/>
        </w:sectPr>
      </w:pPr>
      <w:bookmarkStart w:id="0" w:name="_GoBack"/>
      <w:bookmarkEnd w:id="0"/>
    </w:p>
    <w:p w14:paraId="16B75C2F">
      <w:pPr>
        <w:pStyle w:val="2"/>
        <w:keepNext/>
        <w:keepLines/>
        <w:pageBreakBefore w:val="0"/>
        <w:widowControl w:val="0"/>
        <w:kinsoku/>
        <w:wordWrap/>
        <w:overflowPunct/>
        <w:topLinePunct w:val="0"/>
        <w:autoSpaceDE/>
        <w:autoSpaceDN/>
        <w:bidi w:val="0"/>
        <w:adjustRightInd/>
        <w:snapToGrid/>
        <w:ind w:firstLine="0" w:firstLineChars="0"/>
        <w:jc w:val="center"/>
        <w:textAlignment w:val="auto"/>
        <w:rPr>
          <w:rFonts w:hint="eastAsia"/>
          <w:lang w:val="en-US" w:eastAsia="zh-CN"/>
        </w:rPr>
      </w:pPr>
      <w:r>
        <w:rPr>
          <w:rFonts w:hint="eastAsia"/>
          <w:lang w:val="en-US" w:eastAsia="zh-CN"/>
        </w:rPr>
        <w:t>分析项目清单</w:t>
      </w:r>
    </w:p>
    <w:p w14:paraId="64F3530D">
      <w:pPr>
        <w:pStyle w:val="5"/>
        <w:widowControl/>
        <w:shd w:val="clear" w:color="auto" w:fill="FFFFFF"/>
        <w:spacing w:before="160" w:beforeAutospacing="0" w:after="160" w:afterAutospacing="0"/>
        <w:ind w:firstLine="0" w:firstLineChars="0"/>
        <w:jc w:val="both"/>
        <w:rPr>
          <w:rStyle w:val="9"/>
          <w:shd w:val="clear" w:color="auto" w:fill="FFFFFF"/>
        </w:rPr>
      </w:pPr>
      <w:r>
        <w:rPr>
          <w:rStyle w:val="9"/>
          <w:shd w:val="clear" w:color="auto" w:fill="FFFFFF"/>
        </w:rPr>
        <w:t>一、组化/荧光分析</w:t>
      </w:r>
    </w:p>
    <w:p w14:paraId="79C0F511">
      <w:pPr>
        <w:pStyle w:val="5"/>
        <w:widowControl/>
        <w:numPr>
          <w:ilvl w:val="0"/>
          <w:numId w:val="2"/>
        </w:numPr>
        <w:shd w:val="clear" w:color="auto" w:fill="FFFFFF"/>
        <w:spacing w:beforeAutospacing="0" w:afterAutospacing="0"/>
        <w:ind w:firstLineChars="0"/>
        <w:jc w:val="both"/>
        <w:rPr>
          <w:rStyle w:val="9"/>
          <w:shd w:val="clear" w:color="auto" w:fill="FFFFFF"/>
        </w:rPr>
      </w:pPr>
      <w:r>
        <w:rPr>
          <w:rStyle w:val="9"/>
          <w:shd w:val="clear" w:color="auto" w:fill="FFFFFF"/>
        </w:rPr>
        <w:t>阳性率=阳性细胞数/总细胞数</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r>
        <w:rPr>
          <w:rStyle w:val="9"/>
          <w:shd w:val="clear" w:color="auto" w:fill="FFFFFF"/>
        </w:rPr>
        <w:t>：</w:t>
      </w:r>
    </w:p>
    <w:p w14:paraId="57D2AC63">
      <w:pPr>
        <w:pStyle w:val="5"/>
        <w:widowControl/>
        <w:shd w:val="clear" w:color="auto" w:fill="FFFFFF"/>
        <w:spacing w:beforeAutospacing="0" w:afterAutospacing="0"/>
        <w:ind w:firstLine="480"/>
        <w:jc w:val="both"/>
      </w:pPr>
      <w:r>
        <w:rPr>
          <w:shd w:val="clear" w:color="auto" w:fill="FFFFFF"/>
        </w:rPr>
        <w:t>分析阳性细胞数占总细胞数的占比。反映阳性细胞数量比率高低，成正比。优点适用于细胞类型较单一的情况。</w:t>
      </w:r>
    </w:p>
    <w:p w14:paraId="420724B5">
      <w:pPr>
        <w:pStyle w:val="5"/>
        <w:widowControl/>
        <w:numPr>
          <w:ilvl w:val="0"/>
          <w:numId w:val="2"/>
        </w:numPr>
        <w:shd w:val="clear" w:color="auto" w:fill="FFFFFF"/>
        <w:spacing w:beforeAutospacing="0" w:afterAutospacing="0"/>
        <w:ind w:firstLineChars="0"/>
        <w:jc w:val="both"/>
        <w:rPr>
          <w:rStyle w:val="9"/>
          <w:shd w:val="clear" w:color="auto" w:fill="FFFFFF"/>
        </w:rPr>
      </w:pPr>
      <w:r>
        <w:rPr>
          <w:rStyle w:val="9"/>
          <w:shd w:val="clear" w:color="auto" w:fill="FFFFFF"/>
        </w:rPr>
        <w:t>阳性细胞密度=阳性细胞数/待测区域组织面积</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r>
        <w:rPr>
          <w:rStyle w:val="9"/>
          <w:shd w:val="clear" w:color="auto" w:fill="FFFFFF"/>
        </w:rPr>
        <w:t>：</w:t>
      </w:r>
    </w:p>
    <w:p w14:paraId="1FA0F2B5">
      <w:pPr>
        <w:pStyle w:val="5"/>
        <w:widowControl/>
        <w:shd w:val="clear" w:color="auto" w:fill="FFFFFF"/>
        <w:spacing w:beforeAutospacing="0" w:afterAutospacing="0"/>
        <w:ind w:firstLine="480"/>
        <w:jc w:val="both"/>
        <w:rPr>
          <w:shd w:val="clear" w:color="auto" w:fill="FFFFFF"/>
        </w:rPr>
      </w:pPr>
      <w:r>
        <w:rPr>
          <w:shd w:val="clear" w:color="auto" w:fill="FFFFFF"/>
        </w:rPr>
        <w:t>分析阳性细胞数占待测区域组织面积之比。反映单位面积内阳性细胞个数，成正比。</w:t>
      </w:r>
    </w:p>
    <w:p w14:paraId="0904E781">
      <w:pPr>
        <w:pStyle w:val="5"/>
        <w:widowControl/>
        <w:numPr>
          <w:ilvl w:val="0"/>
          <w:numId w:val="2"/>
        </w:numPr>
        <w:shd w:val="clear" w:color="auto" w:fill="FFFFFF"/>
        <w:spacing w:beforeAutospacing="0" w:afterAutospacing="0"/>
        <w:ind w:left="0" w:firstLine="0" w:firstLineChars="0"/>
        <w:jc w:val="both"/>
        <w:rPr>
          <w:rStyle w:val="9"/>
        </w:rPr>
      </w:pPr>
      <w:r>
        <w:rPr>
          <w:rStyle w:val="9"/>
          <w:shd w:val="clear" w:color="auto" w:fill="FFFFFF"/>
        </w:rPr>
        <w:t>平均阳性强度，各阳性点颜色深浅的平均值</w:t>
      </w:r>
      <w:r>
        <w:rPr>
          <w:rStyle w:val="9"/>
          <w:rFonts w:hint="eastAsia"/>
          <w:shd w:val="clear" w:color="auto" w:fill="FFFFFF"/>
          <w:lang w:eastAsia="zh-CN"/>
        </w:rPr>
        <w:t>（</w:t>
      </w:r>
      <w:r>
        <w:rPr>
          <w:rStyle w:val="9"/>
          <w:rFonts w:hint="eastAsia"/>
          <w:b w:val="0"/>
          <w:bCs/>
          <w:shd w:val="clear" w:color="auto" w:fill="FFFFFF"/>
          <w:lang w:val="en-US" w:eastAsia="zh-CN"/>
        </w:rPr>
        <w:t>IPP/</w:t>
      </w:r>
      <w:r>
        <w:rPr>
          <w:rFonts w:hint="eastAsia" w:cs="Times New Roman"/>
          <w:b w:val="0"/>
          <w:bCs/>
          <w:shd w:val="clear" w:color="auto" w:fill="FFFFFF"/>
          <w:lang w:val="en-US" w:eastAsia="zh-CN"/>
        </w:rPr>
        <w:t>V</w:t>
      </w:r>
      <w:r>
        <w:rPr>
          <w:rFonts w:hint="eastAsia" w:cs="Times New Roman"/>
          <w:shd w:val="clear" w:color="auto" w:fill="FFFFFF"/>
          <w:lang w:val="en-US" w:eastAsia="zh-CN"/>
        </w:rPr>
        <w:t>isiopharm</w:t>
      </w:r>
      <w:r>
        <w:rPr>
          <w:rStyle w:val="9"/>
          <w:rFonts w:hint="eastAsia"/>
          <w:shd w:val="clear" w:color="auto" w:fill="FFFFFF"/>
          <w:lang w:eastAsia="zh-CN"/>
        </w:rPr>
        <w:t>）</w:t>
      </w:r>
      <w:r>
        <w:rPr>
          <w:rStyle w:val="9"/>
          <w:shd w:val="clear" w:color="auto" w:fill="FFFFFF"/>
        </w:rPr>
        <w:t>：</w:t>
      </w:r>
    </w:p>
    <w:p w14:paraId="3CB0E15F">
      <w:pPr>
        <w:ind w:firstLine="480"/>
        <w:rPr>
          <w:rFonts w:cs="Times New Roman"/>
          <w:shd w:val="clear" w:color="auto" w:fill="FFFFFF"/>
        </w:rPr>
      </w:pPr>
      <w:r>
        <w:rPr>
          <w:rFonts w:cs="Times New Roman"/>
          <w:shd w:val="clear" w:color="auto" w:fill="FFFFFF"/>
        </w:rPr>
        <w:t>反应整张片子或者某个区域阳性的平均深浅度。明场为平均光密度（average optical density），暗场为平均强度（average intensity），数值越大阳性程度越强。适用性广，由于没有考虑阳性面积，在极端情况下会出现，阳性极少且颜色深时阳性强度值高，阳性点多且颜色浅时阳性强度值低。可以结合阳性面积一起评价。</w:t>
      </w:r>
    </w:p>
    <w:p w14:paraId="62260150">
      <w:pPr>
        <w:ind w:firstLine="480"/>
        <w:rPr>
          <w:rFonts w:hint="eastAsia" w:cs="Times New Roman"/>
          <w:shd w:val="clear" w:color="auto" w:fill="FFFFFF"/>
          <w:lang w:eastAsia="zh-CN"/>
        </w:rPr>
      </w:pPr>
      <w:r>
        <w:rPr>
          <w:rFonts w:hint="eastAsia" w:cs="Times New Roman"/>
          <w:shd w:val="clear" w:color="auto" w:fill="FFFFFF"/>
          <w:lang w:val="en-US" w:eastAsia="zh-CN"/>
        </w:rPr>
        <w:t>IPP：</w:t>
      </w:r>
      <w:r>
        <w:rPr>
          <w:rFonts w:hint="eastAsia" w:cs="Times New Roman"/>
          <w:shd w:val="clear" w:color="auto" w:fill="FFFFFF"/>
        </w:rPr>
        <w:t>平均光密度</w:t>
      </w:r>
      <w:r>
        <w:rPr>
          <w:rFonts w:hint="eastAsia" w:cs="Times New Roman"/>
          <w:shd w:val="clear" w:color="auto" w:fill="FFFFFF"/>
          <w:lang w:val="en-US" w:eastAsia="zh-CN"/>
        </w:rPr>
        <w:t>=</w:t>
      </w:r>
      <w:r>
        <w:rPr>
          <w:rFonts w:hint="eastAsia" w:cs="Times New Roman"/>
          <w:shd w:val="clear" w:color="auto" w:fill="FFFFFF"/>
        </w:rPr>
        <w:t>阳性累积光密度IOD值/阳性面积</w:t>
      </w:r>
      <w:r>
        <w:rPr>
          <w:rFonts w:hint="eastAsia" w:cs="Times New Roman"/>
          <w:shd w:val="clear" w:color="auto" w:fill="FFFFFF"/>
          <w:lang w:eastAsia="zh-CN"/>
        </w:rPr>
        <w:t>。</w:t>
      </w:r>
    </w:p>
    <w:p w14:paraId="35D9C2CB">
      <w:pPr>
        <w:ind w:firstLine="480"/>
        <w:rPr>
          <w:rFonts w:hint="default" w:cs="Times New Roman"/>
          <w:shd w:val="clear" w:color="auto" w:fill="FFFFFF"/>
          <w:lang w:val="en-US" w:eastAsia="zh-CN"/>
        </w:rPr>
      </w:pPr>
      <w:r>
        <w:rPr>
          <w:rFonts w:hint="eastAsia" w:cs="Times New Roman"/>
          <w:shd w:val="clear" w:color="auto" w:fill="FFFFFF"/>
          <w:lang w:val="en-US" w:eastAsia="zh-CN"/>
        </w:rPr>
        <w:t>Visiopharm直接输出数值。</w:t>
      </w:r>
      <w:r>
        <w:rPr>
          <w:rFonts w:hint="eastAsia" w:hAnsi="宋体" w:eastAsia="宋体" w:cs="Times New Roman"/>
          <w:color w:val="000000"/>
          <w:lang w:val="en-US" w:eastAsia="zh-CN"/>
        </w:rPr>
        <w:t>（IOD=平均荧光强度*阳性面积。因</w:t>
      </w:r>
      <w:r>
        <w:rPr>
          <w:rFonts w:hint="eastAsia" w:eastAsia="宋体" w:cs="Times New Roman"/>
          <w:color w:val="000000"/>
          <w:lang w:eastAsia="zh-CN"/>
        </w:rPr>
        <w:t>Visiopharm</w:t>
      </w:r>
      <w:r>
        <w:rPr>
          <w:rFonts w:hint="eastAsia" w:eastAsia="宋体" w:cs="Times New Roman"/>
          <w:color w:val="000000"/>
          <w:lang w:val="en-US" w:eastAsia="zh-CN"/>
        </w:rPr>
        <w:t>软件数据输出类型中无IOD，结果中的IOD值是由上述公式计算得出，同时不同软件对数据的算法可能存在差异，故结果中的IOD值仅供参考</w:t>
      </w:r>
      <w:r>
        <w:rPr>
          <w:rFonts w:hint="eastAsia" w:hAnsi="宋体" w:eastAsia="宋体" w:cs="Times New Roman"/>
          <w:color w:val="000000"/>
          <w:lang w:val="en-US" w:eastAsia="zh-CN"/>
        </w:rPr>
        <w:t>）</w:t>
      </w:r>
    </w:p>
    <w:p w14:paraId="48DCF02F">
      <w:pPr>
        <w:pStyle w:val="5"/>
        <w:widowControl/>
        <w:numPr>
          <w:ilvl w:val="0"/>
          <w:numId w:val="2"/>
        </w:numPr>
        <w:shd w:val="clear" w:color="auto" w:fill="FFFFFF"/>
        <w:spacing w:beforeAutospacing="0" w:afterAutospacing="0"/>
        <w:ind w:firstLineChars="0"/>
        <w:jc w:val="both"/>
        <w:rPr>
          <w:b/>
          <w:bCs/>
          <w:shd w:val="clear" w:color="auto" w:fill="FFFFFF"/>
        </w:rPr>
      </w:pPr>
      <w:r>
        <w:rPr>
          <w:rStyle w:val="9"/>
          <w:shd w:val="clear" w:color="auto" w:fill="FFFFFF"/>
        </w:rPr>
        <w:t>阳性面积比=阳性面积/待测区域组织面积</w:t>
      </w:r>
      <w:r>
        <w:rPr>
          <w:rStyle w:val="9"/>
          <w:rFonts w:hint="eastAsia"/>
          <w:shd w:val="clear" w:color="auto" w:fill="FFFFFF"/>
          <w:lang w:eastAsia="zh-CN"/>
        </w:rPr>
        <w:t>（</w:t>
      </w:r>
      <w:r>
        <w:rPr>
          <w:rStyle w:val="9"/>
          <w:rFonts w:hint="eastAsia"/>
          <w:b w:val="0"/>
          <w:bCs/>
          <w:shd w:val="clear" w:color="auto" w:fill="FFFFFF"/>
          <w:lang w:val="en-US" w:eastAsia="zh-CN"/>
        </w:rPr>
        <w:t>IPP/</w:t>
      </w:r>
      <w:r>
        <w:rPr>
          <w:rFonts w:hint="eastAsia" w:cs="Times New Roman"/>
          <w:b w:val="0"/>
          <w:bCs/>
          <w:shd w:val="clear" w:color="auto" w:fill="FFFFFF"/>
          <w:lang w:val="en-US" w:eastAsia="zh-CN"/>
        </w:rPr>
        <w:t>V</w:t>
      </w:r>
      <w:r>
        <w:rPr>
          <w:rFonts w:hint="eastAsia" w:cs="Times New Roman"/>
          <w:shd w:val="clear" w:color="auto" w:fill="FFFFFF"/>
          <w:lang w:val="en-US" w:eastAsia="zh-CN"/>
        </w:rPr>
        <w:t>isiopharm</w:t>
      </w:r>
      <w:r>
        <w:rPr>
          <w:rStyle w:val="9"/>
          <w:rFonts w:hint="eastAsia"/>
          <w:shd w:val="clear" w:color="auto" w:fill="FFFFFF"/>
          <w:lang w:eastAsia="zh-CN"/>
        </w:rPr>
        <w:t>）</w:t>
      </w:r>
      <w:r>
        <w:rPr>
          <w:b/>
          <w:bCs/>
          <w:shd w:val="clear" w:color="auto" w:fill="FFFFFF"/>
        </w:rPr>
        <w:t>：</w:t>
      </w:r>
    </w:p>
    <w:p w14:paraId="708A992C">
      <w:pPr>
        <w:pStyle w:val="5"/>
        <w:widowControl/>
        <w:shd w:val="clear" w:color="auto" w:fill="FFFFFF"/>
        <w:spacing w:beforeAutospacing="0" w:afterAutospacing="0"/>
        <w:ind w:firstLine="480"/>
        <w:jc w:val="both"/>
        <w:rPr>
          <w:shd w:val="clear" w:color="auto" w:fill="FFFFFF"/>
        </w:rPr>
      </w:pPr>
      <w:r>
        <w:rPr>
          <w:shd w:val="clear" w:color="auto" w:fill="FFFFFF"/>
        </w:rPr>
        <w:t>不考虑阳性深浅的变化，单纯的比较阳性面积占比。</w:t>
      </w:r>
    </w:p>
    <w:p w14:paraId="2AA98975">
      <w:pPr>
        <w:pStyle w:val="5"/>
        <w:widowControl/>
        <w:numPr>
          <w:ilvl w:val="0"/>
          <w:numId w:val="2"/>
        </w:numPr>
        <w:shd w:val="clear" w:color="auto" w:fill="FFFFFF"/>
        <w:spacing w:beforeAutospacing="0" w:afterAutospacing="0"/>
        <w:ind w:firstLineChars="0"/>
        <w:jc w:val="both"/>
        <w:rPr>
          <w:rStyle w:val="9"/>
          <w:rFonts w:hint="eastAsia" w:eastAsia="宋体"/>
          <w:shd w:val="clear" w:color="auto" w:fill="FFFFFF"/>
        </w:rPr>
      </w:pPr>
      <w:r>
        <w:rPr>
          <w:rStyle w:val="9"/>
          <w:rFonts w:hint="eastAsia" w:eastAsia="宋体"/>
          <w:shd w:val="clear" w:color="auto" w:fill="FFFFFF"/>
        </w:rPr>
        <w:t>面密度</w:t>
      </w:r>
      <w:r>
        <w:rPr>
          <w:rStyle w:val="9"/>
          <w:rFonts w:hint="eastAsia"/>
          <w:shd w:val="clear" w:color="auto" w:fill="FFFFFF"/>
          <w:lang w:eastAsia="zh-CN"/>
        </w:rPr>
        <w:t>（</w:t>
      </w:r>
      <w:r>
        <w:rPr>
          <w:rStyle w:val="9"/>
          <w:rFonts w:hint="eastAsia"/>
          <w:b w:val="0"/>
          <w:bCs/>
          <w:shd w:val="clear" w:color="auto" w:fill="FFFFFF"/>
          <w:lang w:val="en-US" w:eastAsia="zh-CN"/>
        </w:rPr>
        <w:t>IPP/</w:t>
      </w:r>
      <w:r>
        <w:rPr>
          <w:rFonts w:hint="eastAsia" w:cs="Times New Roman"/>
          <w:b w:val="0"/>
          <w:bCs/>
          <w:shd w:val="clear" w:color="auto" w:fill="FFFFFF"/>
          <w:lang w:val="en-US" w:eastAsia="zh-CN"/>
        </w:rPr>
        <w:t>V</w:t>
      </w:r>
      <w:r>
        <w:rPr>
          <w:rFonts w:hint="eastAsia" w:cs="Times New Roman"/>
          <w:shd w:val="clear" w:color="auto" w:fill="FFFFFF"/>
          <w:lang w:val="en-US" w:eastAsia="zh-CN"/>
        </w:rPr>
        <w:t>isiopharm</w:t>
      </w:r>
      <w:r>
        <w:rPr>
          <w:rStyle w:val="9"/>
          <w:rFonts w:hint="eastAsia"/>
          <w:shd w:val="clear" w:color="auto" w:fill="FFFFFF"/>
          <w:lang w:eastAsia="zh-CN"/>
        </w:rPr>
        <w:t>）</w:t>
      </w:r>
      <w:r>
        <w:rPr>
          <w:rStyle w:val="9"/>
          <w:rFonts w:hint="eastAsia" w:eastAsia="宋体"/>
          <w:shd w:val="clear" w:color="auto" w:fill="FFFFFF"/>
        </w:rPr>
        <w:t>：</w:t>
      </w:r>
    </w:p>
    <w:p w14:paraId="5D6DD3DC">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ind w:left="0" w:leftChars="0" w:firstLine="480" w:firstLineChars="200"/>
        <w:jc w:val="both"/>
        <w:textAlignment w:val="auto"/>
        <w:rPr>
          <w:shd w:val="clear" w:color="auto" w:fill="FFFFFF"/>
        </w:rPr>
      </w:pPr>
      <w:r>
        <w:rPr>
          <w:rFonts w:hint="eastAsia"/>
          <w:shd w:val="clear" w:color="auto" w:fill="FFFFFF"/>
        </w:rPr>
        <w:t>累积光密度值是所有阳性信号光密度的积分，除以待测区域组织面积可反映阳性多少和深浅，成正比。优点是既考虑了阳性的面积以及阳性的深浅，且不受待测组织大小的影响。</w:t>
      </w:r>
    </w:p>
    <w:p w14:paraId="15658862">
      <w:pPr>
        <w:pStyle w:val="5"/>
        <w:widowControl/>
        <w:shd w:val="clear" w:color="auto" w:fill="FFFFFF"/>
        <w:spacing w:beforeAutospacing="0" w:afterAutospacing="0"/>
        <w:ind w:firstLine="480"/>
        <w:jc w:val="both"/>
        <w:rPr>
          <w:rFonts w:hint="eastAsia"/>
          <w:shd w:val="clear" w:color="auto" w:fill="FFFFFF"/>
          <w:lang w:eastAsia="zh-CN"/>
        </w:rPr>
      </w:pPr>
      <w:r>
        <w:rPr>
          <w:rFonts w:hint="eastAsia" w:cs="Times New Roman"/>
          <w:shd w:val="clear" w:color="auto" w:fill="FFFFFF"/>
          <w:lang w:val="en-US" w:eastAsia="zh-CN"/>
        </w:rPr>
        <w:t>IPP：</w:t>
      </w:r>
      <w:r>
        <w:rPr>
          <w:rFonts w:hint="eastAsia"/>
          <w:shd w:val="clear" w:color="auto" w:fill="FFFFFF"/>
        </w:rPr>
        <w:t>阳性面密度</w:t>
      </w:r>
      <w:r>
        <w:rPr>
          <w:rFonts w:hint="eastAsia"/>
          <w:shd w:val="clear" w:color="auto" w:fill="FFFFFF"/>
          <w:lang w:val="en-US" w:eastAsia="zh-CN"/>
        </w:rPr>
        <w:t>=</w:t>
      </w:r>
      <w:r>
        <w:rPr>
          <w:rFonts w:hint="eastAsia"/>
          <w:shd w:val="clear" w:color="auto" w:fill="FFFFFF"/>
        </w:rPr>
        <w:t>阳性的累积光密度IOD值/组织面积</w:t>
      </w:r>
      <w:r>
        <w:rPr>
          <w:rFonts w:hint="eastAsia"/>
          <w:shd w:val="clear" w:color="auto" w:fill="FFFFFF"/>
          <w:lang w:eastAsia="zh-CN"/>
        </w:rPr>
        <w:t>。</w:t>
      </w:r>
    </w:p>
    <w:p w14:paraId="20D02707">
      <w:pPr>
        <w:pStyle w:val="5"/>
        <w:widowControl/>
        <w:shd w:val="clear" w:color="auto" w:fill="FFFFFF"/>
        <w:spacing w:beforeAutospacing="0" w:afterAutospacing="0"/>
        <w:ind w:firstLine="480"/>
        <w:jc w:val="both"/>
        <w:rPr>
          <w:rFonts w:hint="eastAsia" w:cs="Times New Roman"/>
          <w:shd w:val="clear" w:color="auto" w:fill="FFFFFF"/>
          <w:lang w:val="en-US" w:eastAsia="zh-CN"/>
        </w:rPr>
      </w:pPr>
      <w:r>
        <w:rPr>
          <w:rFonts w:hint="eastAsia" w:cs="Times New Roman"/>
          <w:shd w:val="clear" w:color="auto" w:fill="FFFFFF"/>
          <w:lang w:val="en-US" w:eastAsia="zh-CN"/>
        </w:rPr>
        <w:t>Visiopharm直接输出数值。</w:t>
      </w:r>
    </w:p>
    <w:p w14:paraId="3E6F9D40">
      <w:pPr>
        <w:pStyle w:val="5"/>
        <w:widowControl/>
        <w:numPr>
          <w:ilvl w:val="0"/>
          <w:numId w:val="2"/>
        </w:numPr>
        <w:shd w:val="clear" w:color="auto" w:fill="FFFFFF"/>
        <w:spacing w:beforeAutospacing="0" w:afterAutospacing="0"/>
        <w:ind w:firstLineChars="0"/>
        <w:jc w:val="both"/>
        <w:rPr>
          <w:rStyle w:val="9"/>
          <w:rFonts w:hint="eastAsia" w:eastAsia="宋体"/>
          <w:b w:val="0"/>
          <w:bCs/>
          <w:shd w:val="clear" w:color="auto" w:fill="FFFFFF"/>
          <w:lang w:val="en-US" w:eastAsia="zh-CN"/>
        </w:rPr>
      </w:pPr>
      <w:r>
        <w:rPr>
          <w:rStyle w:val="9"/>
          <w:rFonts w:hint="eastAsia" w:eastAsia="宋体"/>
          <w:shd w:val="clear" w:color="auto" w:fill="FFFFFF"/>
          <w:lang w:val="en-US" w:eastAsia="zh-CN"/>
        </w:rPr>
        <w:t>微血管密度MVD=微血管数量/视野</w:t>
      </w:r>
      <w:r>
        <w:rPr>
          <w:rStyle w:val="9"/>
          <w:rFonts w:hint="eastAsia" w:eastAsia="宋体"/>
          <w:b w:val="0"/>
          <w:bCs/>
          <w:shd w:val="clear" w:color="auto" w:fill="FFFFFF"/>
          <w:lang w:eastAsia="zh-CN"/>
        </w:rPr>
        <w:t>（</w:t>
      </w:r>
      <w:r>
        <w:rPr>
          <w:rStyle w:val="9"/>
          <w:rFonts w:hint="eastAsia" w:eastAsia="宋体"/>
          <w:b w:val="0"/>
          <w:bCs/>
          <w:shd w:val="clear" w:color="auto" w:fill="FFFFFF"/>
          <w:lang w:val="en-US" w:eastAsia="zh-CN"/>
        </w:rPr>
        <w:t>IPP/Visiopharm</w:t>
      </w:r>
      <w:r>
        <w:rPr>
          <w:rStyle w:val="9"/>
          <w:rFonts w:hint="eastAsia" w:eastAsia="宋体"/>
          <w:b w:val="0"/>
          <w:bCs/>
          <w:shd w:val="clear" w:color="auto" w:fill="FFFFFF"/>
          <w:lang w:eastAsia="zh-CN"/>
        </w:rPr>
        <w:t>）</w:t>
      </w:r>
      <w:r>
        <w:rPr>
          <w:rStyle w:val="9"/>
          <w:rFonts w:hint="eastAsia" w:eastAsia="宋体"/>
          <w:b/>
          <w:bCs w:val="0"/>
          <w:shd w:val="clear" w:color="auto" w:fill="FFFFFF"/>
          <w:lang w:eastAsia="zh-CN"/>
        </w:rPr>
        <w:t>：</w:t>
      </w:r>
    </w:p>
    <w:p w14:paraId="344DB3B7">
      <w:pPr>
        <w:bidi w:val="0"/>
        <w:rPr>
          <w:rFonts w:hint="eastAsia"/>
          <w:lang w:val="en-US" w:eastAsia="zh-CN"/>
        </w:rPr>
      </w:pPr>
      <w:r>
        <w:rPr>
          <w:rFonts w:hint="eastAsia"/>
          <w:lang w:val="en-US" w:eastAsia="zh-CN"/>
        </w:rPr>
        <w:t>CD31、CD34微血管密度分析，测量单位面积内微血管数量。</w:t>
      </w:r>
    </w:p>
    <w:p w14:paraId="3240547B">
      <w:pPr>
        <w:pStyle w:val="5"/>
        <w:widowControl/>
        <w:numPr>
          <w:ilvl w:val="0"/>
          <w:numId w:val="2"/>
        </w:numPr>
        <w:shd w:val="clear" w:color="auto" w:fill="FFFFFF"/>
        <w:spacing w:beforeAutospacing="0" w:afterAutospacing="0"/>
        <w:ind w:firstLineChars="0"/>
        <w:jc w:val="both"/>
        <w:rPr>
          <w:rStyle w:val="9"/>
          <w:b w:val="0"/>
        </w:rPr>
      </w:pPr>
      <w:r>
        <w:rPr>
          <w:rStyle w:val="9"/>
          <w:rFonts w:hint="eastAsia"/>
          <w:shd w:val="clear" w:color="auto" w:fill="FFFFFF"/>
          <w:lang w:val="en-US" w:eastAsia="zh-CN"/>
        </w:rPr>
        <w:t>TPS</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p>
    <w:p w14:paraId="7669DAE4">
      <w:pPr>
        <w:pStyle w:val="5"/>
        <w:widowControl/>
        <w:shd w:val="clear" w:color="auto" w:fill="FFFFFF"/>
        <w:spacing w:beforeAutospacing="0" w:afterAutospacing="0"/>
        <w:ind w:firstLine="480"/>
        <w:jc w:val="both"/>
        <w:rPr>
          <w:rFonts w:hint="default" w:eastAsiaTheme="minorEastAsia"/>
          <w:shd w:val="clear" w:color="auto" w:fill="FFFFFF"/>
          <w:lang w:val="en-US" w:eastAsia="zh-CN"/>
        </w:rPr>
      </w:pPr>
      <w:r>
        <w:rPr>
          <w:rFonts w:hint="default" w:eastAsiaTheme="minorEastAsia"/>
          <w:shd w:val="clear" w:color="auto" w:fill="FFFFFF"/>
          <w:lang w:val="en-US" w:eastAsia="zh-CN"/>
        </w:rPr>
        <w:t>肿瘤细胞阳性表达率。计算方法是将PD-L1阳性的肿瘤细胞数除以总肿瘤细胞数并乘以100</w:t>
      </w:r>
      <w:r>
        <w:rPr>
          <w:rFonts w:hint="eastAsia"/>
          <w:shd w:val="clear" w:color="auto" w:fill="FFFFFF"/>
          <w:lang w:val="en-US" w:eastAsia="zh-CN"/>
        </w:rPr>
        <w:t>%</w:t>
      </w:r>
      <w:r>
        <w:rPr>
          <w:rFonts w:hint="default" w:eastAsiaTheme="minorEastAsia"/>
          <w:shd w:val="clear" w:color="auto" w:fill="FFFFFF"/>
          <w:lang w:val="en-US" w:eastAsia="zh-CN"/>
        </w:rPr>
        <w:t>。</w:t>
      </w:r>
    </w:p>
    <w:p w14:paraId="74F57404">
      <w:pPr>
        <w:pStyle w:val="5"/>
        <w:widowControl/>
        <w:numPr>
          <w:ilvl w:val="0"/>
          <w:numId w:val="2"/>
        </w:numPr>
        <w:shd w:val="clear" w:color="auto" w:fill="FFFFFF"/>
        <w:spacing w:beforeAutospacing="0" w:afterAutospacing="0"/>
        <w:ind w:firstLineChars="0"/>
        <w:jc w:val="both"/>
        <w:rPr>
          <w:rStyle w:val="9"/>
          <w:b w:val="0"/>
        </w:rPr>
      </w:pPr>
      <w:r>
        <w:rPr>
          <w:rStyle w:val="9"/>
          <w:shd w:val="clear" w:color="auto" w:fill="FFFFFF"/>
        </w:rPr>
        <w:t>IRS评分</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p>
    <w:p w14:paraId="07DA589C">
      <w:pPr>
        <w:ind w:firstLine="480"/>
        <w:rPr>
          <w:rFonts w:cs="Times New Roman"/>
        </w:rPr>
      </w:pPr>
      <w:r>
        <w:rPr>
          <w:rFonts w:cs="Times New Roman"/>
          <w:shd w:val="clear" w:color="auto" w:fill="FFFFFF"/>
        </w:rPr>
        <w:t>对免疫组化切片中的染色程度（0-3分）以及阳性率（0-4分）分别评分后相乘得到综合评分（0-12分）。具体如下，染色强度以目的细胞呈现染色特性计分：无着色为0分，淡黄色为1分，棕黄色为2分，棕褐色为3分；以细胞阳性比率进行计分：0～5%为0分，6%～25%为1分，26%～50%为2分，51%～75%为3分，&gt;75%为4分。综合评分可划分阳性高低后进行统计，常用于癌和癌旁的芯片生存分析中。</w:t>
      </w:r>
    </w:p>
    <w:p w14:paraId="7F1AA8F3">
      <w:pPr>
        <w:pStyle w:val="5"/>
        <w:widowControl/>
        <w:numPr>
          <w:ilvl w:val="0"/>
          <w:numId w:val="2"/>
        </w:numPr>
        <w:shd w:val="clear" w:color="auto" w:fill="FFFFFF"/>
        <w:spacing w:beforeAutospacing="0" w:afterAutospacing="0"/>
        <w:ind w:firstLineChars="0"/>
        <w:jc w:val="both"/>
        <w:rPr>
          <w:shd w:val="clear" w:color="auto" w:fill="FFFFFF"/>
        </w:rPr>
      </w:pPr>
      <w:r>
        <w:rPr>
          <w:rStyle w:val="9"/>
          <w:shd w:val="clear" w:color="auto" w:fill="FFFFFF"/>
        </w:rPr>
        <w:t>H-Score</w:t>
      </w:r>
      <w:r>
        <w:rPr>
          <w:b/>
          <w:bCs/>
          <w:shd w:val="clear" w:color="auto" w:fill="FFFFFF"/>
        </w:rPr>
        <w:t>（Histochemistry score）</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p>
    <w:p w14:paraId="6B9411FB">
      <w:pPr>
        <w:ind w:firstLine="480"/>
        <w:rPr>
          <w:rFonts w:cs="Times New Roman"/>
          <w:shd w:val="clear" w:color="auto" w:fill="FFFFFF"/>
        </w:rPr>
      </w:pPr>
      <w:r>
        <w:rPr>
          <w:rFonts w:cs="Times New Roman"/>
          <w:shd w:val="clear" w:color="auto" w:fill="FFFFFF"/>
        </w:rPr>
        <w:t>是处理免疫组化的一种组织学评分方法，将每张切片内阳性数量及其染色强度转化为相应的数值，达到对组织染色半定量的目的。H-Score（H-SCORE=∑（pi×i）=（percentage of weak intensity cells ×1）+（percentage  of moderate intensity cells ×2）+（percentage of strong intensity cells ×3），式中i表示阳性细胞等级划分：阴性无着色，计0分；弱阳性淡黄色，计1分；中阳性棕黄色，计2分；强阳性棕褐色计3分。pi表示阳性细胞百分数）。H-score为0-300之间的数值，数值越大说明综合阳性强度越强。</w:t>
      </w:r>
    </w:p>
    <w:p w14:paraId="787686DE">
      <w:pPr>
        <w:pStyle w:val="10"/>
        <w:numPr>
          <w:ilvl w:val="0"/>
          <w:numId w:val="2"/>
        </w:numPr>
        <w:ind w:firstLineChars="0"/>
        <w:rPr>
          <w:rFonts w:cs="Times New Roman"/>
          <w:b/>
          <w:bCs/>
          <w:shd w:val="clear" w:color="auto" w:fill="FFFFFF"/>
        </w:rPr>
      </w:pPr>
      <w:r>
        <w:rPr>
          <w:rFonts w:hint="eastAsia" w:cs="Times New Roman"/>
          <w:b/>
          <w:bCs/>
          <w:shd w:val="clear" w:color="auto" w:fill="FFFFFF"/>
        </w:rPr>
        <w:t>区域划分</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p>
    <w:p w14:paraId="43936583">
      <w:pPr>
        <w:pStyle w:val="10"/>
        <w:ind w:left="360" w:firstLine="0" w:firstLineChars="0"/>
        <w:rPr>
          <w:rFonts w:cs="Times New Roman"/>
          <w:shd w:val="clear" w:color="auto" w:fill="FFFFFF"/>
        </w:rPr>
      </w:pPr>
      <w:r>
        <w:rPr>
          <w:rFonts w:hint="eastAsia" w:cs="Times New Roman"/>
          <w:shd w:val="clear" w:color="auto" w:fill="FFFFFF"/>
        </w:rPr>
        <w:t>如肿瘤间质区域划分。方法如下：</w:t>
      </w:r>
    </w:p>
    <w:p w14:paraId="4427B49D">
      <w:pPr>
        <w:pStyle w:val="10"/>
        <w:numPr>
          <w:ilvl w:val="0"/>
          <w:numId w:val="3"/>
        </w:numPr>
        <w:ind w:firstLineChars="0"/>
        <w:rPr>
          <w:rFonts w:cs="Times New Roman"/>
          <w:shd w:val="clear" w:color="auto" w:fill="FFFFFF"/>
        </w:rPr>
      </w:pPr>
      <w:r>
        <w:rPr>
          <w:rFonts w:hint="eastAsia" w:cs="Times New Roman"/>
          <w:shd w:val="clear" w:color="auto" w:fill="FFFFFF"/>
        </w:rPr>
        <w:t>连续切片H</w:t>
      </w:r>
      <w:r>
        <w:rPr>
          <w:rFonts w:cs="Times New Roman"/>
          <w:shd w:val="clear" w:color="auto" w:fill="FFFFFF"/>
        </w:rPr>
        <w:t>E</w:t>
      </w:r>
      <w:r>
        <w:rPr>
          <w:rFonts w:hint="eastAsia" w:cs="Times New Roman"/>
          <w:shd w:val="clear" w:color="auto" w:fill="FFFFFF"/>
        </w:rPr>
        <w:t>染色+病理专家阅片</w:t>
      </w:r>
    </w:p>
    <w:p w14:paraId="20700008">
      <w:pPr>
        <w:pStyle w:val="10"/>
        <w:numPr>
          <w:ilvl w:val="0"/>
          <w:numId w:val="3"/>
        </w:numPr>
        <w:ind w:firstLineChars="0"/>
        <w:rPr>
          <w:rFonts w:cs="Times New Roman"/>
          <w:shd w:val="clear" w:color="auto" w:fill="FFFFFF"/>
        </w:rPr>
      </w:pPr>
      <w:r>
        <w:rPr>
          <w:rFonts w:hint="eastAsia" w:cs="Times New Roman"/>
          <w:shd w:val="clear" w:color="auto" w:fill="FFFFFF"/>
        </w:rPr>
        <w:t>软件对特定maker识别（例如以P</w:t>
      </w:r>
      <w:r>
        <w:rPr>
          <w:rFonts w:cs="Times New Roman"/>
          <w:shd w:val="clear" w:color="auto" w:fill="FFFFFF"/>
        </w:rPr>
        <w:t>ANCK</w:t>
      </w:r>
      <w:r>
        <w:rPr>
          <w:rFonts w:hint="eastAsia" w:cs="Times New Roman"/>
          <w:shd w:val="clear" w:color="auto" w:fill="FFFFFF"/>
        </w:rPr>
        <w:t>识别肿瘤区域）</w:t>
      </w:r>
    </w:p>
    <w:p w14:paraId="4C1FB615">
      <w:pPr>
        <w:pStyle w:val="10"/>
        <w:numPr>
          <w:ilvl w:val="0"/>
          <w:numId w:val="3"/>
        </w:numPr>
        <w:ind w:firstLineChars="0"/>
        <w:rPr>
          <w:rFonts w:cs="Times New Roman"/>
          <w:shd w:val="clear" w:color="auto" w:fill="FFFFFF"/>
        </w:rPr>
      </w:pPr>
      <w:r>
        <w:rPr>
          <w:rFonts w:hint="eastAsia" w:cs="Times New Roman"/>
          <w:shd w:val="clear" w:color="auto" w:fill="FFFFFF"/>
        </w:rPr>
        <w:t>软件对特定细胞物理参数识别（例如细胞核大小、形态等）</w:t>
      </w:r>
    </w:p>
    <w:p w14:paraId="69678993">
      <w:pPr>
        <w:pStyle w:val="5"/>
        <w:widowControl/>
        <w:numPr>
          <w:ilvl w:val="0"/>
          <w:numId w:val="2"/>
        </w:numPr>
        <w:shd w:val="clear" w:color="auto" w:fill="FFFFFF"/>
        <w:spacing w:beforeAutospacing="0" w:afterAutospacing="0"/>
        <w:ind w:firstLineChars="0"/>
        <w:jc w:val="both"/>
      </w:pPr>
      <w:r>
        <w:rPr>
          <w:rStyle w:val="9"/>
          <w:shd w:val="clear" w:color="auto" w:fill="FFFFFF"/>
        </w:rPr>
        <w:t>免疫荧光多标阳性共定位分析</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p>
    <w:p w14:paraId="7FD65889">
      <w:pPr>
        <w:pStyle w:val="5"/>
        <w:widowControl/>
        <w:shd w:val="clear" w:color="auto" w:fill="FFFFFF"/>
        <w:spacing w:beforeAutospacing="0" w:afterAutospacing="0"/>
        <w:ind w:firstLine="480"/>
        <w:jc w:val="both"/>
      </w:pPr>
      <w:r>
        <w:rPr>
          <w:shd w:val="clear" w:color="auto" w:fill="FFFFFF"/>
        </w:rPr>
        <w:t>测量整张扫描切片或者指定区域中单独通道的数据以及指定共定位的数据（阳性面积或阳性率值表示，选其一，一般选择阳性率）。</w:t>
      </w:r>
    </w:p>
    <w:p w14:paraId="45FFC2BD">
      <w:pPr>
        <w:pStyle w:val="5"/>
        <w:widowControl/>
        <w:numPr>
          <w:ilvl w:val="0"/>
          <w:numId w:val="2"/>
        </w:numPr>
        <w:shd w:val="clear" w:color="auto" w:fill="FFFFFF"/>
        <w:spacing w:beforeAutospacing="0" w:afterAutospacing="0"/>
        <w:ind w:firstLineChars="0"/>
        <w:jc w:val="both"/>
      </w:pPr>
      <w:r>
        <w:rPr>
          <w:rStyle w:val="9"/>
          <w:shd w:val="clear" w:color="auto" w:fill="FFFFFF"/>
        </w:rPr>
        <w:t>免疫荧光空间距离分析</w:t>
      </w:r>
      <w:r>
        <w:rPr>
          <w:rStyle w:val="9"/>
          <w:rFonts w:hint="eastAsia"/>
          <w:shd w:val="clear" w:color="auto" w:fill="FFFFFF"/>
          <w:lang w:eastAsia="zh-CN"/>
        </w:rPr>
        <w:t>（</w:t>
      </w:r>
      <w:r>
        <w:rPr>
          <w:rFonts w:hint="eastAsia" w:cs="Times New Roman"/>
          <w:shd w:val="clear" w:color="auto" w:fill="FFFFFF"/>
          <w:lang w:val="en-US" w:eastAsia="zh-CN"/>
        </w:rPr>
        <w:t>Visiopharm</w:t>
      </w:r>
      <w:r>
        <w:rPr>
          <w:rStyle w:val="9"/>
          <w:rFonts w:hint="eastAsia"/>
          <w:shd w:val="clear" w:color="auto" w:fill="FFFFFF"/>
          <w:lang w:eastAsia="zh-CN"/>
        </w:rPr>
        <w:t>）</w:t>
      </w:r>
    </w:p>
    <w:p w14:paraId="7A42D0FC">
      <w:pPr>
        <w:pStyle w:val="5"/>
        <w:widowControl/>
        <w:shd w:val="clear" w:color="auto" w:fill="FFFFFF"/>
        <w:spacing w:beforeAutospacing="0" w:afterAutospacing="0"/>
        <w:ind w:firstLine="480"/>
        <w:jc w:val="both"/>
      </w:pPr>
      <w:r>
        <w:rPr>
          <w:shd w:val="clear" w:color="auto" w:fill="FFFFFF"/>
        </w:rPr>
        <w:t>主要用来研究肿瘤微环境，炎性细胞和肿瘤细胞之间的距离关系等。</w:t>
      </w:r>
    </w:p>
    <w:p w14:paraId="5B53FCD1">
      <w:pPr>
        <w:pStyle w:val="5"/>
        <w:widowControl/>
        <w:numPr>
          <w:ilvl w:val="0"/>
          <w:numId w:val="0"/>
        </w:numPr>
        <w:shd w:val="clear" w:color="auto" w:fill="FFFFFF"/>
        <w:spacing w:beforeAutospacing="0" w:afterAutospacing="0"/>
        <w:jc w:val="both"/>
      </w:pPr>
      <w:r>
        <w:rPr>
          <w:rStyle w:val="9"/>
          <w:rFonts w:hint="eastAsia" w:eastAsia="宋体"/>
          <w:shd w:val="clear" w:color="auto" w:fill="FFFFFF"/>
          <w:lang w:val="en-US" w:eastAsia="zh-CN"/>
        </w:rPr>
        <w:t>12.1</w:t>
      </w:r>
      <w:r>
        <w:rPr>
          <w:rFonts w:hint="eastAsia"/>
          <w:shd w:val="clear" w:color="auto" w:fill="FFFFFF"/>
          <w:lang w:val="en-US" w:eastAsia="zh-CN"/>
        </w:rPr>
        <w:t xml:space="preserve"> </w:t>
      </w:r>
      <w:r>
        <w:rPr>
          <w:shd w:val="clear" w:color="auto" w:fill="FFFFFF"/>
        </w:rPr>
        <w:t>分析</w:t>
      </w:r>
      <w:r>
        <w:rPr>
          <w:u w:val="single"/>
          <w:shd w:val="clear" w:color="auto" w:fill="FFFFFF"/>
        </w:rPr>
        <w:t>一种指标标记</w:t>
      </w:r>
      <w:r>
        <w:rPr>
          <w:shd w:val="clear" w:color="auto" w:fill="FFFFFF"/>
        </w:rPr>
        <w:t>的细胞周围</w:t>
      </w:r>
      <w:r>
        <w:rPr>
          <w:u w:val="single"/>
          <w:shd w:val="clear" w:color="auto" w:fill="FFFFFF"/>
        </w:rPr>
        <w:t>多少微米</w:t>
      </w:r>
      <w:r>
        <w:rPr>
          <w:shd w:val="clear" w:color="auto" w:fill="FFFFFF"/>
        </w:rPr>
        <w:t>范围之内</w:t>
      </w:r>
      <w:r>
        <w:rPr>
          <w:u w:val="single"/>
          <w:shd w:val="clear" w:color="auto" w:fill="FFFFFF"/>
        </w:rPr>
        <w:t>另一指标标记</w:t>
      </w:r>
      <w:r>
        <w:rPr>
          <w:shd w:val="clear" w:color="auto" w:fill="FFFFFF"/>
        </w:rPr>
        <w:t>的细胞数量，可以设置不同范围；</w:t>
      </w:r>
    </w:p>
    <w:p w14:paraId="34255C3C">
      <w:pPr>
        <w:pStyle w:val="5"/>
        <w:widowControl/>
        <w:shd w:val="clear" w:color="auto" w:fill="FFFFFF"/>
        <w:spacing w:beforeAutospacing="0" w:afterAutospacing="0"/>
        <w:ind w:firstLine="0" w:firstLineChars="0"/>
        <w:jc w:val="both"/>
      </w:pPr>
      <w:r>
        <w:rPr>
          <w:rStyle w:val="9"/>
          <w:rFonts w:hint="eastAsia"/>
          <w:shd w:val="clear" w:color="auto" w:fill="FFFFFF"/>
          <w:lang w:val="en-US" w:eastAsia="zh-CN"/>
        </w:rPr>
        <w:t>12</w:t>
      </w:r>
      <w:r>
        <w:rPr>
          <w:rStyle w:val="9"/>
          <w:shd w:val="clear" w:color="auto" w:fill="FFFFFF"/>
        </w:rPr>
        <w:t xml:space="preserve">.2 </w:t>
      </w:r>
      <w:r>
        <w:rPr>
          <w:shd w:val="clear" w:color="auto" w:fill="FFFFFF"/>
        </w:rPr>
        <w:t>分析</w:t>
      </w:r>
      <w:r>
        <w:rPr>
          <w:u w:val="single"/>
          <w:shd w:val="clear" w:color="auto" w:fill="FFFFFF"/>
        </w:rPr>
        <w:t>不同指标标记</w:t>
      </w:r>
      <w:r>
        <w:rPr>
          <w:shd w:val="clear" w:color="auto" w:fill="FFFFFF"/>
        </w:rPr>
        <w:t>细胞之间的平均距离</w:t>
      </w:r>
      <w:r>
        <w:rPr>
          <w:color w:val="000000"/>
          <w:lang w:bidi="ar"/>
        </w:rPr>
        <w:t>（最近邻分析）</w:t>
      </w:r>
      <w:r>
        <w:rPr>
          <w:shd w:val="clear" w:color="auto" w:fill="FFFFFF"/>
        </w:rPr>
        <w:t>；</w:t>
      </w:r>
    </w:p>
    <w:p w14:paraId="15C088CC">
      <w:pPr>
        <w:pStyle w:val="5"/>
        <w:widowControl/>
        <w:shd w:val="clear" w:color="auto" w:fill="FFFFFF"/>
        <w:spacing w:beforeAutospacing="0" w:afterAutospacing="0"/>
        <w:ind w:firstLine="0" w:firstLineChars="0"/>
        <w:jc w:val="both"/>
        <w:rPr>
          <w:shd w:val="clear" w:color="auto" w:fill="FFFFFF"/>
        </w:rPr>
      </w:pPr>
      <w:r>
        <w:rPr>
          <w:rStyle w:val="9"/>
          <w:rFonts w:hint="eastAsia"/>
          <w:shd w:val="clear" w:color="auto" w:fill="FFFFFF"/>
          <w:lang w:val="en-US" w:eastAsia="zh-CN"/>
        </w:rPr>
        <w:t>12</w:t>
      </w:r>
      <w:r>
        <w:rPr>
          <w:rStyle w:val="9"/>
          <w:shd w:val="clear" w:color="auto" w:fill="FFFFFF"/>
        </w:rPr>
        <w:t xml:space="preserve">.3 </w:t>
      </w:r>
      <w:r>
        <w:rPr>
          <w:shd w:val="clear" w:color="auto" w:fill="FFFFFF"/>
        </w:rPr>
        <w:t>以</w:t>
      </w:r>
      <w:r>
        <w:rPr>
          <w:u w:val="single"/>
          <w:shd w:val="clear" w:color="auto" w:fill="FFFFFF"/>
        </w:rPr>
        <w:t>某处</w:t>
      </w:r>
      <w:r>
        <w:rPr>
          <w:shd w:val="clear" w:color="auto" w:fill="FFFFFF"/>
        </w:rPr>
        <w:t>为界（如肿瘤灶、坏死灶或指定区域等）分析该区域</w:t>
      </w:r>
      <w:r>
        <w:rPr>
          <w:u w:val="single"/>
          <w:shd w:val="clear" w:color="auto" w:fill="FFFFFF"/>
        </w:rPr>
        <w:t>多少微米</w:t>
      </w:r>
      <w:r>
        <w:rPr>
          <w:shd w:val="clear" w:color="auto" w:fill="FFFFFF"/>
        </w:rPr>
        <w:t>范围之内不同指标标记的细胞数量。</w:t>
      </w:r>
    </w:p>
    <w:p w14:paraId="66FB29A8">
      <w:pPr>
        <w:pStyle w:val="5"/>
        <w:widowControl/>
        <w:shd w:val="clear" w:color="auto" w:fill="FFFFFF"/>
        <w:spacing w:before="160" w:beforeAutospacing="0" w:after="160" w:afterAutospacing="0"/>
        <w:ind w:firstLine="0" w:firstLineChars="0"/>
        <w:jc w:val="both"/>
        <w:rPr>
          <w:b/>
          <w:shd w:val="clear" w:color="auto" w:fill="FFFFFF"/>
        </w:rPr>
      </w:pPr>
      <w:r>
        <w:rPr>
          <w:rStyle w:val="9"/>
          <w:shd w:val="clear" w:color="auto" w:fill="FFFFFF"/>
        </w:rPr>
        <w:t>二、形态测量分析</w:t>
      </w:r>
    </w:p>
    <w:p w14:paraId="27EA6167">
      <w:pPr>
        <w:pStyle w:val="5"/>
        <w:widowControl/>
        <w:shd w:val="clear" w:color="auto" w:fill="FFFFFF"/>
        <w:spacing w:beforeAutospacing="0" w:afterAutospacing="0"/>
        <w:ind w:firstLine="0" w:firstLineChars="0"/>
        <w:jc w:val="both"/>
        <w:rPr>
          <w:b/>
          <w:shd w:val="clear" w:color="auto" w:fill="FFFFFF"/>
        </w:rPr>
      </w:pPr>
      <w:r>
        <w:rPr>
          <w:b/>
          <w:bCs/>
        </w:rPr>
        <w:t xml:space="preserve">1. </w:t>
      </w:r>
      <w:r>
        <w:t>HE染色中测量各类结构长、宽、面积、数量以及密度等常规数据。以下为常规参考，不包含所有。</w:t>
      </w:r>
    </w:p>
    <w:p w14:paraId="69C46776">
      <w:pPr>
        <w:pStyle w:val="5"/>
        <w:widowControl/>
        <w:shd w:val="clear" w:color="auto" w:fill="FFFFFF"/>
        <w:spacing w:beforeAutospacing="0" w:afterAutospacing="0"/>
        <w:ind w:firstLine="0" w:firstLineChars="0"/>
        <w:jc w:val="both"/>
        <w:rPr>
          <w:b/>
          <w:bCs/>
        </w:rPr>
      </w:pPr>
      <w:r>
        <w:rPr>
          <w:b/>
          <w:bCs/>
        </w:rPr>
        <w:t>1.1肠</w:t>
      </w:r>
    </w:p>
    <w:p w14:paraId="378000F6">
      <w:pPr>
        <w:pStyle w:val="5"/>
        <w:widowControl/>
        <w:shd w:val="clear" w:color="auto" w:fill="FFFFFF"/>
        <w:spacing w:beforeAutospacing="0" w:afterAutospacing="0"/>
        <w:ind w:firstLine="480"/>
        <w:jc w:val="both"/>
        <w:rPr>
          <w:b/>
          <w:shd w:val="clear" w:color="auto" w:fill="FFFFFF"/>
        </w:rPr>
      </w:pPr>
      <w:r>
        <w:t>小肠绒毛高度；小肠绒毛宽度；小肠隐窝深度；肠粘膜层厚度；肠肌层厚度</w:t>
      </w:r>
      <w:r>
        <w:rPr>
          <w:rFonts w:hint="eastAsia"/>
        </w:rPr>
        <w:t>；单根绒毛上杯状细胞数量等</w:t>
      </w:r>
      <w:r>
        <w:t>。</w:t>
      </w:r>
    </w:p>
    <w:p w14:paraId="6B7B0A8F">
      <w:pPr>
        <w:pStyle w:val="5"/>
        <w:widowControl/>
        <w:shd w:val="clear" w:color="auto" w:fill="FFFFFF"/>
        <w:spacing w:beforeAutospacing="0" w:afterAutospacing="0"/>
        <w:ind w:firstLine="0" w:firstLineChars="0"/>
        <w:jc w:val="both"/>
        <w:rPr>
          <w:b/>
          <w:bCs/>
        </w:rPr>
      </w:pPr>
      <w:r>
        <w:rPr>
          <w:b/>
          <w:bCs/>
        </w:rPr>
        <w:t>1.2 肺</w:t>
      </w:r>
    </w:p>
    <w:p w14:paraId="12B0B263">
      <w:pPr>
        <w:pStyle w:val="5"/>
        <w:widowControl/>
        <w:shd w:val="clear" w:color="auto" w:fill="FFFFFF"/>
        <w:spacing w:beforeAutospacing="0" w:afterAutospacing="0"/>
        <w:ind w:firstLine="480"/>
        <w:jc w:val="both"/>
        <w:rPr>
          <w:b/>
          <w:shd w:val="clear" w:color="auto" w:fill="FFFFFF"/>
        </w:rPr>
      </w:pPr>
      <w:r>
        <w:t>单位视野内肺泡数NA；单位视野内肺泡间隔数NS；支气管基底周径Pbm；支气管腔面积；支气管总管壁面积WAt支气管内壁面积WAi；支气管平滑肌面积WAm。</w:t>
      </w:r>
    </w:p>
    <w:p w14:paraId="710BF86C">
      <w:pPr>
        <w:pStyle w:val="5"/>
        <w:widowControl/>
        <w:shd w:val="clear" w:color="auto" w:fill="FFFFFF"/>
        <w:spacing w:beforeAutospacing="0" w:afterAutospacing="0"/>
        <w:ind w:firstLine="0" w:firstLineChars="0"/>
        <w:jc w:val="both"/>
        <w:rPr>
          <w:b/>
          <w:bCs/>
        </w:rPr>
      </w:pPr>
      <w:r>
        <w:rPr>
          <w:b/>
          <w:bCs/>
        </w:rPr>
        <w:t>1.3 卵巢</w:t>
      </w:r>
    </w:p>
    <w:p w14:paraId="71E65EDB">
      <w:pPr>
        <w:pStyle w:val="5"/>
        <w:widowControl/>
        <w:shd w:val="clear" w:color="auto" w:fill="FFFFFF"/>
        <w:spacing w:beforeAutospacing="0" w:afterAutospacing="0"/>
        <w:ind w:firstLine="480"/>
        <w:jc w:val="both"/>
      </w:pPr>
      <w:r>
        <w:t>初级卵泡数量；次级卵泡数量；窦状卵泡数量；成熟卵泡数量；黄体数量；颗粒细胞数量等。该分析为扫描后整个卵巢切片计数。</w:t>
      </w:r>
    </w:p>
    <w:p w14:paraId="1E473975">
      <w:pPr>
        <w:pStyle w:val="5"/>
        <w:widowControl/>
        <w:shd w:val="clear" w:color="auto" w:fill="FFFFFF"/>
        <w:spacing w:beforeAutospacing="0" w:afterAutospacing="0"/>
        <w:ind w:firstLine="0" w:firstLineChars="0"/>
        <w:jc w:val="both"/>
        <w:rPr>
          <w:b/>
          <w:bCs/>
        </w:rPr>
      </w:pPr>
      <w:r>
        <w:rPr>
          <w:b/>
          <w:bCs/>
        </w:rPr>
        <w:t>1.4 皮肤</w:t>
      </w:r>
    </w:p>
    <w:p w14:paraId="2AF7A2D3">
      <w:pPr>
        <w:pStyle w:val="5"/>
        <w:widowControl/>
        <w:shd w:val="clear" w:color="auto" w:fill="FFFFFF"/>
        <w:spacing w:beforeAutospacing="0" w:afterAutospacing="0"/>
        <w:ind w:firstLine="480"/>
        <w:jc w:val="both"/>
        <w:rPr>
          <w:b/>
          <w:shd w:val="clear" w:color="auto" w:fill="FFFFFF"/>
        </w:rPr>
      </w:pPr>
      <w:r>
        <w:t>毛囊数量；表皮厚度；真皮厚度；损伤深度；损伤宽度。</w:t>
      </w:r>
    </w:p>
    <w:p w14:paraId="42A65EB3">
      <w:pPr>
        <w:pStyle w:val="5"/>
        <w:widowControl/>
        <w:shd w:val="clear" w:color="auto" w:fill="FFFFFF"/>
        <w:spacing w:beforeAutospacing="0" w:afterAutospacing="0"/>
        <w:ind w:firstLine="0" w:firstLineChars="0"/>
        <w:jc w:val="both"/>
        <w:rPr>
          <w:b/>
          <w:bCs/>
        </w:rPr>
      </w:pPr>
      <w:r>
        <w:rPr>
          <w:b/>
          <w:bCs/>
        </w:rPr>
        <w:t>1.5 血管</w:t>
      </w:r>
    </w:p>
    <w:p w14:paraId="422FBB71">
      <w:pPr>
        <w:pStyle w:val="5"/>
        <w:widowControl/>
        <w:shd w:val="clear" w:color="auto" w:fill="FFFFFF"/>
        <w:spacing w:beforeAutospacing="0" w:afterAutospacing="0"/>
        <w:ind w:firstLine="480"/>
        <w:jc w:val="both"/>
        <w:rPr>
          <w:b/>
          <w:shd w:val="clear" w:color="auto" w:fill="FFFFFF"/>
        </w:rPr>
      </w:pPr>
      <w:r>
        <w:t>管腔面积；管腔直径；内膜增生面积；中膜平均厚度；斑块面积。</w:t>
      </w:r>
    </w:p>
    <w:p w14:paraId="09135748">
      <w:pPr>
        <w:pStyle w:val="5"/>
        <w:widowControl/>
        <w:shd w:val="clear" w:color="auto" w:fill="FFFFFF"/>
        <w:spacing w:beforeAutospacing="0" w:afterAutospacing="0"/>
        <w:ind w:firstLine="0" w:firstLineChars="0"/>
        <w:jc w:val="both"/>
        <w:rPr>
          <w:b/>
          <w:bCs/>
        </w:rPr>
      </w:pPr>
      <w:r>
        <w:rPr>
          <w:b/>
          <w:bCs/>
        </w:rPr>
        <w:t>1.6 脑</w:t>
      </w:r>
    </w:p>
    <w:p w14:paraId="7F1AAA5A">
      <w:pPr>
        <w:pStyle w:val="5"/>
        <w:widowControl/>
        <w:shd w:val="clear" w:color="auto" w:fill="FFFFFF"/>
        <w:spacing w:beforeAutospacing="0" w:afterAutospacing="0"/>
        <w:ind w:firstLine="480"/>
        <w:jc w:val="both"/>
        <w:rPr>
          <w:b/>
          <w:shd w:val="clear" w:color="auto" w:fill="FFFFFF"/>
        </w:rPr>
      </w:pPr>
      <w:r>
        <w:t>海马单位面积锥体细胞数量；脑室面积。</w:t>
      </w:r>
    </w:p>
    <w:p w14:paraId="47F88D97">
      <w:pPr>
        <w:pStyle w:val="5"/>
        <w:widowControl/>
        <w:shd w:val="clear" w:color="auto" w:fill="FFFFFF"/>
        <w:spacing w:beforeAutospacing="0" w:afterAutospacing="0"/>
        <w:ind w:firstLine="0" w:firstLineChars="0"/>
        <w:jc w:val="both"/>
      </w:pPr>
      <w:r>
        <w:rPr>
          <w:b/>
          <w:bCs/>
        </w:rPr>
        <w:t>1.7 睾丸</w:t>
      </w:r>
    </w:p>
    <w:p w14:paraId="61BA9E59">
      <w:pPr>
        <w:pStyle w:val="5"/>
        <w:widowControl/>
        <w:shd w:val="clear" w:color="auto" w:fill="FFFFFF"/>
        <w:spacing w:beforeAutospacing="0" w:afterAutospacing="0"/>
        <w:ind w:firstLine="480"/>
        <w:jc w:val="both"/>
        <w:rPr>
          <w:b/>
          <w:shd w:val="clear" w:color="auto" w:fill="FFFFFF"/>
        </w:rPr>
      </w:pPr>
      <w:r>
        <w:t>生精小管长短径；生精小管周长；生精小管面积；单位视野间质细胞数量。</w:t>
      </w:r>
    </w:p>
    <w:p w14:paraId="6AD162D5">
      <w:pPr>
        <w:pStyle w:val="5"/>
        <w:widowControl/>
        <w:shd w:val="clear" w:color="auto" w:fill="FFFFFF"/>
        <w:spacing w:beforeAutospacing="0" w:afterAutospacing="0"/>
        <w:ind w:firstLine="0" w:firstLineChars="0"/>
        <w:jc w:val="both"/>
      </w:pPr>
      <w:r>
        <w:rPr>
          <w:b/>
          <w:bCs/>
        </w:rPr>
        <w:t>1.8 心</w:t>
      </w:r>
    </w:p>
    <w:p w14:paraId="512FA124">
      <w:pPr>
        <w:pStyle w:val="5"/>
        <w:widowControl/>
        <w:shd w:val="clear" w:color="auto" w:fill="FFFFFF"/>
        <w:spacing w:beforeAutospacing="0" w:afterAutospacing="0"/>
        <w:ind w:firstLine="480"/>
        <w:jc w:val="both"/>
        <w:rPr>
          <w:b/>
          <w:shd w:val="clear" w:color="auto" w:fill="FFFFFF"/>
        </w:rPr>
      </w:pPr>
      <w:r>
        <w:t>横切心肌细胞面积；横切心肌细胞直径；横切心肌细胞密度；心室壁的平均厚度；心腔面积。</w:t>
      </w:r>
    </w:p>
    <w:p w14:paraId="02E7D84F">
      <w:pPr>
        <w:pStyle w:val="5"/>
        <w:widowControl/>
        <w:shd w:val="clear" w:color="auto" w:fill="FFFFFF"/>
        <w:spacing w:beforeAutospacing="0" w:afterAutospacing="0"/>
        <w:ind w:firstLine="0" w:firstLineChars="0"/>
        <w:jc w:val="both"/>
      </w:pPr>
      <w:r>
        <w:rPr>
          <w:b/>
          <w:bCs/>
        </w:rPr>
        <w:t>1.9 肾</w:t>
      </w:r>
    </w:p>
    <w:p w14:paraId="6739E6EA">
      <w:pPr>
        <w:pStyle w:val="5"/>
        <w:widowControl/>
        <w:shd w:val="clear" w:color="auto" w:fill="FFFFFF"/>
        <w:spacing w:beforeAutospacing="0" w:afterAutospacing="0"/>
        <w:ind w:firstLine="480"/>
        <w:jc w:val="both"/>
      </w:pPr>
      <w:r>
        <w:t>肾小球平均面积；肾小球内细胞数量。</w:t>
      </w:r>
    </w:p>
    <w:p w14:paraId="68C41F6F">
      <w:pPr>
        <w:pStyle w:val="5"/>
        <w:widowControl/>
        <w:shd w:val="clear" w:color="auto" w:fill="FFFFFF"/>
        <w:spacing w:beforeAutospacing="0" w:afterAutospacing="0"/>
        <w:ind w:firstLine="0" w:firstLineChars="0"/>
        <w:jc w:val="both"/>
      </w:pPr>
      <w:r>
        <w:rPr>
          <w:b/>
          <w:bCs/>
        </w:rPr>
        <w:t>1.10 肌肉</w:t>
      </w:r>
    </w:p>
    <w:p w14:paraId="45924222">
      <w:pPr>
        <w:pStyle w:val="5"/>
        <w:widowControl/>
        <w:shd w:val="clear" w:color="auto" w:fill="FFFFFF"/>
        <w:spacing w:beforeAutospacing="0" w:afterAutospacing="0"/>
        <w:ind w:firstLine="480"/>
        <w:jc w:val="both"/>
      </w:pPr>
      <w:r>
        <w:t>横切肌纤维面积；横切肌纤维直径；横切肌纤维密度。</w:t>
      </w:r>
    </w:p>
    <w:p w14:paraId="1F461DD4">
      <w:pPr>
        <w:pStyle w:val="5"/>
        <w:widowControl/>
        <w:shd w:val="clear" w:color="auto" w:fill="FFFFFF"/>
        <w:spacing w:beforeAutospacing="0" w:afterAutospacing="0"/>
        <w:ind w:firstLine="0" w:firstLineChars="0"/>
        <w:jc w:val="both"/>
      </w:pPr>
      <w:r>
        <w:rPr>
          <w:b/>
          <w:bCs/>
        </w:rPr>
        <w:t>1.11 脂肪</w:t>
      </w:r>
    </w:p>
    <w:p w14:paraId="06D10582">
      <w:pPr>
        <w:pStyle w:val="5"/>
        <w:widowControl/>
        <w:shd w:val="clear" w:color="auto" w:fill="FFFFFF"/>
        <w:spacing w:beforeAutospacing="0" w:afterAutospacing="0"/>
        <w:ind w:firstLine="480"/>
        <w:jc w:val="both"/>
      </w:pPr>
      <w:r>
        <w:t>脂肪细胞面积；脂肪细胞直径；脂肪细胞数量密度。</w:t>
      </w:r>
    </w:p>
    <w:p w14:paraId="5479D6F9">
      <w:pPr>
        <w:pStyle w:val="5"/>
        <w:widowControl/>
        <w:shd w:val="clear" w:color="auto" w:fill="FFFFFF"/>
        <w:spacing w:before="160" w:beforeAutospacing="0" w:after="160" w:afterAutospacing="0"/>
        <w:ind w:firstLine="0" w:firstLineChars="0"/>
        <w:jc w:val="both"/>
      </w:pPr>
      <w:r>
        <w:rPr>
          <w:b/>
          <w:bCs/>
        </w:rPr>
        <w:t xml:space="preserve">2. </w:t>
      </w:r>
      <w:r>
        <w:t>特殊染色中主要分析阳性面积以及占比或视野内阳性细胞个数。以下为常规参考，不包含所有。</w:t>
      </w:r>
    </w:p>
    <w:p w14:paraId="2F82880A">
      <w:pPr>
        <w:pStyle w:val="5"/>
        <w:widowControl/>
        <w:shd w:val="clear" w:color="auto" w:fill="FFFFFF"/>
        <w:spacing w:beforeAutospacing="0" w:afterAutospacing="0"/>
        <w:ind w:firstLine="0" w:firstLineChars="0"/>
        <w:jc w:val="both"/>
        <w:rPr>
          <w:b/>
          <w:bCs/>
        </w:rPr>
      </w:pPr>
      <w:r>
        <w:rPr>
          <w:b/>
          <w:bCs/>
        </w:rPr>
        <w:t>2.1 Masson</w:t>
      </w:r>
      <w:r>
        <w:rPr>
          <w:rFonts w:hint="eastAsia"/>
          <w:b/>
          <w:bCs/>
        </w:rPr>
        <w:t>（胶原纤维呈蓝色，肌纤维呈红色）</w:t>
      </w:r>
    </w:p>
    <w:p w14:paraId="08B04A5F">
      <w:pPr>
        <w:pStyle w:val="5"/>
        <w:widowControl/>
        <w:shd w:val="clear" w:color="auto" w:fill="FFFFFF"/>
        <w:spacing w:beforeAutospacing="0" w:afterAutospacing="0"/>
        <w:ind w:firstLine="480"/>
        <w:jc w:val="both"/>
      </w:pPr>
      <w:r>
        <w:t>胶原纤维面积/待测区域组织面积；胶原纤维IOD值。</w:t>
      </w:r>
    </w:p>
    <w:p w14:paraId="3235486F">
      <w:pPr>
        <w:pStyle w:val="5"/>
        <w:widowControl/>
        <w:shd w:val="clear" w:color="auto" w:fill="FFFFFF"/>
        <w:spacing w:beforeAutospacing="0" w:afterAutospacing="0"/>
        <w:ind w:firstLine="0" w:firstLineChars="0"/>
        <w:jc w:val="both"/>
        <w:rPr>
          <w:b/>
          <w:bCs/>
        </w:rPr>
      </w:pPr>
      <w:r>
        <w:rPr>
          <w:b/>
          <w:bCs/>
        </w:rPr>
        <w:t>2.2 Sirius red</w:t>
      </w:r>
      <w:r>
        <w:rPr>
          <w:rFonts w:hint="eastAsia"/>
          <w:b/>
          <w:bCs/>
        </w:rPr>
        <w:t>（天狼猩红）</w:t>
      </w:r>
    </w:p>
    <w:p w14:paraId="08939F00">
      <w:pPr>
        <w:pStyle w:val="5"/>
        <w:widowControl/>
        <w:shd w:val="clear" w:color="auto" w:fill="FFFFFF"/>
        <w:spacing w:beforeAutospacing="0" w:afterAutospacing="0"/>
        <w:ind w:firstLine="480"/>
        <w:jc w:val="both"/>
      </w:pPr>
      <w:r>
        <w:t>胶原纤维面积/待测区域组织面积；偏振光下I型</w:t>
      </w:r>
      <w:r>
        <w:rPr>
          <w:rFonts w:hint="eastAsia"/>
        </w:rPr>
        <w:t>（</w:t>
      </w:r>
      <w:r>
        <w:rPr>
          <w:rFonts w:ascii="Helvetica" w:hAnsi="Helvetica"/>
          <w:color w:val="333333"/>
          <w:shd w:val="clear" w:color="auto" w:fill="FFFFFF"/>
        </w:rPr>
        <w:t>显示很强的双折光性，呈黄色或红色的纤维</w:t>
      </w:r>
      <w:r>
        <w:rPr>
          <w:rFonts w:hint="eastAsia"/>
        </w:rPr>
        <w:t>）</w:t>
      </w:r>
      <w:r>
        <w:t>与III型</w:t>
      </w:r>
      <w:r>
        <w:rPr>
          <w:rFonts w:hint="eastAsia"/>
        </w:rPr>
        <w:t>（</w:t>
      </w:r>
      <w:r>
        <w:rPr>
          <w:rFonts w:ascii="Helvetica" w:hAnsi="Helvetica"/>
          <w:color w:val="333333"/>
          <w:shd w:val="clear" w:color="auto" w:fill="FFFFFF"/>
        </w:rPr>
        <w:t>显示弱的双折光，呈绿色的细纤维</w:t>
      </w:r>
      <w:r>
        <w:rPr>
          <w:rFonts w:hint="eastAsia" w:ascii="Helvetica" w:hAnsi="Helvetica"/>
          <w:color w:val="333333"/>
          <w:shd w:val="clear" w:color="auto" w:fill="FFFFFF"/>
        </w:rPr>
        <w:t>）</w:t>
      </w:r>
      <w:r>
        <w:t>胶原面积比率。</w:t>
      </w:r>
    </w:p>
    <w:p w14:paraId="10BB45C7">
      <w:pPr>
        <w:pStyle w:val="5"/>
        <w:widowControl/>
        <w:shd w:val="clear" w:color="auto" w:fill="FFFFFF"/>
        <w:spacing w:beforeAutospacing="0" w:afterAutospacing="0"/>
        <w:ind w:firstLine="0" w:firstLineChars="0"/>
        <w:jc w:val="both"/>
      </w:pPr>
      <w:r>
        <w:rPr>
          <w:b/>
          <w:bCs/>
        </w:rPr>
        <w:t>2.3 油红O</w:t>
      </w:r>
      <w:r>
        <w:t>：</w:t>
      </w:r>
    </w:p>
    <w:p w14:paraId="1B15333E">
      <w:pPr>
        <w:pStyle w:val="5"/>
        <w:widowControl/>
        <w:shd w:val="clear" w:color="auto" w:fill="FFFFFF"/>
        <w:spacing w:beforeAutospacing="0" w:afterAutospacing="0"/>
        <w:ind w:firstLine="480"/>
        <w:jc w:val="both"/>
      </w:pPr>
      <w:r>
        <w:t>脂滴面积/待测区域组织面积。</w:t>
      </w:r>
    </w:p>
    <w:p w14:paraId="1B8EB0D1">
      <w:pPr>
        <w:pStyle w:val="5"/>
        <w:widowControl/>
        <w:shd w:val="clear" w:color="auto" w:fill="FFFFFF"/>
        <w:spacing w:beforeAutospacing="0" w:afterAutospacing="0"/>
        <w:ind w:firstLine="0" w:firstLineChars="0"/>
        <w:jc w:val="both"/>
      </w:pPr>
      <w:r>
        <w:rPr>
          <w:b/>
          <w:bCs/>
        </w:rPr>
        <w:t>2.4 甲苯胺蓝：</w:t>
      </w:r>
    </w:p>
    <w:p w14:paraId="2C183C23">
      <w:pPr>
        <w:pStyle w:val="5"/>
        <w:widowControl/>
        <w:shd w:val="clear" w:color="auto" w:fill="FFFFFF"/>
        <w:spacing w:beforeAutospacing="0" w:afterAutospacing="0"/>
        <w:ind w:firstLine="480"/>
        <w:jc w:val="both"/>
      </w:pPr>
      <w:r>
        <w:t>单位视野内肥大细胞密度；半薄切片髓鞘直径；半薄切片髓鞘厚度。</w:t>
      </w:r>
    </w:p>
    <w:p w14:paraId="72711DE6">
      <w:pPr>
        <w:pStyle w:val="5"/>
        <w:widowControl/>
        <w:shd w:val="clear" w:color="auto" w:fill="FFFFFF"/>
        <w:spacing w:beforeAutospacing="0" w:afterAutospacing="0"/>
        <w:ind w:firstLine="0" w:firstLineChars="0"/>
        <w:jc w:val="both"/>
      </w:pPr>
      <w:r>
        <w:rPr>
          <w:b/>
          <w:bCs/>
        </w:rPr>
        <w:t>2.5 Trap</w:t>
      </w:r>
    </w:p>
    <w:p w14:paraId="7AF48C56">
      <w:pPr>
        <w:pStyle w:val="5"/>
        <w:widowControl/>
        <w:shd w:val="clear" w:color="auto" w:fill="FFFFFF"/>
        <w:spacing w:beforeAutospacing="0" w:afterAutospacing="0"/>
        <w:ind w:firstLine="480"/>
        <w:jc w:val="both"/>
        <w:rPr>
          <w:rFonts w:ascii="Helvetica" w:hAnsi="Helvetica" w:cs="Helvetica"/>
          <w:color w:val="333333"/>
          <w:shd w:val="clear" w:color="auto" w:fill="FFFFFF"/>
        </w:rPr>
      </w:pPr>
      <w:r>
        <w:rPr>
          <w:rFonts w:ascii="Helvetica" w:hAnsi="Helvetica" w:cs="Helvetica"/>
          <w:color w:val="333333"/>
          <w:shd w:val="clear" w:color="auto" w:fill="FFFFFF"/>
        </w:rPr>
        <w:t>抗酒石酸酸性磷酸酶染色,又称Trap染色，是用于检测骨、骨细胞中破骨细胞的染色，使破骨细胞呈红色，细胞核浅蓝色，用以显示破骨细胞的分布及数量变化。</w:t>
      </w:r>
    </w:p>
    <w:p w14:paraId="10106F83">
      <w:pPr>
        <w:pStyle w:val="5"/>
        <w:widowControl/>
        <w:shd w:val="clear" w:color="auto" w:fill="FFFFFF"/>
        <w:spacing w:beforeAutospacing="0" w:afterAutospacing="0"/>
        <w:ind w:firstLine="480"/>
        <w:jc w:val="both"/>
        <w:rPr>
          <w:rFonts w:hint="eastAsia"/>
        </w:rPr>
      </w:pPr>
      <w:r>
        <w:t>单位骨小梁长度上破骨细胞数量。</w:t>
      </w:r>
    </w:p>
    <w:p w14:paraId="61259B31">
      <w:pPr>
        <w:pStyle w:val="5"/>
        <w:widowControl/>
        <w:shd w:val="clear" w:color="auto" w:fill="FFFFFF"/>
        <w:spacing w:beforeAutospacing="0" w:afterAutospacing="0"/>
        <w:ind w:firstLine="0" w:firstLineChars="0"/>
        <w:jc w:val="both"/>
      </w:pPr>
      <w:r>
        <w:rPr>
          <w:b/>
          <w:bCs/>
        </w:rPr>
        <w:t>2.6 PAS</w:t>
      </w:r>
    </w:p>
    <w:p w14:paraId="6E83995D">
      <w:pPr>
        <w:pStyle w:val="5"/>
        <w:widowControl/>
        <w:shd w:val="clear" w:color="auto" w:fill="FFFFFF"/>
        <w:spacing w:beforeAutospacing="0" w:afterAutospacing="0"/>
        <w:ind w:firstLine="480"/>
        <w:jc w:val="both"/>
      </w:pPr>
      <w:r>
        <w:t>单位绒毛长度上杯状细胞数量；肾小球基质PAS阳性面积/肾小球面积。</w:t>
      </w:r>
    </w:p>
    <w:p w14:paraId="39073898">
      <w:pPr>
        <w:pStyle w:val="5"/>
        <w:widowControl/>
        <w:shd w:val="clear" w:color="auto" w:fill="FFFFFF"/>
        <w:spacing w:beforeAutospacing="0" w:afterAutospacing="0"/>
        <w:ind w:firstLine="0" w:firstLineChars="0"/>
        <w:jc w:val="both"/>
      </w:pPr>
      <w:r>
        <w:rPr>
          <w:b/>
          <w:bCs/>
        </w:rPr>
        <w:t>2.7 ATP</w:t>
      </w:r>
      <w:r>
        <w:t>：</w:t>
      </w:r>
    </w:p>
    <w:p w14:paraId="51E4F45D">
      <w:pPr>
        <w:pStyle w:val="5"/>
        <w:widowControl/>
        <w:shd w:val="clear" w:color="auto" w:fill="FFFFFF"/>
        <w:spacing w:beforeAutospacing="0" w:afterAutospacing="0"/>
        <w:ind w:firstLine="480"/>
        <w:jc w:val="both"/>
      </w:pPr>
      <w:r>
        <w:t>单位面积内Ⅰ型和Ⅱ型肌纤维数量</w:t>
      </w:r>
      <w:r>
        <w:rPr>
          <w:rFonts w:hint="eastAsia"/>
        </w:rPr>
        <w:t>（</w:t>
      </w:r>
      <w:r>
        <w:rPr>
          <w:rFonts w:hint="eastAsia" w:ascii="宋体" w:hAnsi="宋体" w:eastAsia="宋体" w:cs="宋体"/>
          <w:color w:val="333333"/>
          <w:shd w:val="clear" w:color="auto" w:fill="FFFFFF"/>
        </w:rPr>
        <w:t>Ⅰ</w:t>
      </w:r>
      <w:r>
        <w:rPr>
          <w:rFonts w:ascii="Helvetica" w:hAnsi="Helvetica"/>
          <w:color w:val="333333"/>
          <w:shd w:val="clear" w:color="auto" w:fill="FFFFFF"/>
        </w:rPr>
        <w:t>型肌纤维呈浅灰色或无色，</w:t>
      </w:r>
      <w:r>
        <w:rPr>
          <w:rFonts w:hint="eastAsia" w:ascii="宋体" w:hAnsi="宋体" w:eastAsia="宋体" w:cs="宋体"/>
          <w:color w:val="333333"/>
          <w:shd w:val="clear" w:color="auto" w:fill="FFFFFF"/>
        </w:rPr>
        <w:t>Ⅱ</w:t>
      </w:r>
      <w:r>
        <w:rPr>
          <w:rFonts w:ascii="Helvetica" w:hAnsi="Helvetica"/>
          <w:color w:val="333333"/>
          <w:shd w:val="clear" w:color="auto" w:fill="FFFFFF"/>
        </w:rPr>
        <w:t>型肌纤维呈深灰色或黑色</w:t>
      </w:r>
      <w:r>
        <w:rPr>
          <w:rFonts w:hint="eastAsia"/>
        </w:rPr>
        <w:t>）</w:t>
      </w:r>
      <w:r>
        <w:t>。</w:t>
      </w:r>
    </w:p>
    <w:p w14:paraId="4635F820">
      <w:pPr>
        <w:pStyle w:val="5"/>
        <w:widowControl/>
        <w:shd w:val="clear" w:color="auto" w:fill="FFFFFF"/>
        <w:spacing w:beforeAutospacing="0" w:afterAutospacing="0"/>
        <w:ind w:firstLine="0" w:firstLineChars="0"/>
        <w:jc w:val="both"/>
      </w:pPr>
      <w:r>
        <w:rPr>
          <w:b/>
          <w:bCs/>
        </w:rPr>
        <w:t>2.8 高尔基（脑神经细胞）</w:t>
      </w:r>
    </w:p>
    <w:p w14:paraId="605616D4">
      <w:pPr>
        <w:pStyle w:val="5"/>
        <w:widowControl/>
        <w:shd w:val="clear" w:color="auto" w:fill="FFFFFF"/>
        <w:spacing w:beforeAutospacing="0" w:afterAutospacing="0"/>
        <w:ind w:firstLine="480"/>
        <w:jc w:val="both"/>
      </w:pPr>
      <w:r>
        <w:t>树突与同心圆交点数（200倍），单位长度上树突棘密度（1000倍）</w:t>
      </w:r>
    </w:p>
    <w:p w14:paraId="0A424520">
      <w:pPr>
        <w:pStyle w:val="5"/>
        <w:widowControl/>
        <w:shd w:val="clear" w:color="auto" w:fill="FFFFFF"/>
        <w:spacing w:beforeAutospacing="0" w:afterAutospacing="0"/>
        <w:ind w:firstLine="0" w:firstLineChars="0"/>
        <w:jc w:val="both"/>
      </w:pPr>
      <w:r>
        <w:rPr>
          <w:b/>
          <w:bCs/>
        </w:rPr>
        <w:t>2.9 TTC</w:t>
      </w:r>
      <w:r>
        <w:t>：</w:t>
      </w:r>
    </w:p>
    <w:p w14:paraId="480EF374">
      <w:pPr>
        <w:pStyle w:val="5"/>
        <w:widowControl/>
        <w:shd w:val="clear" w:color="auto" w:fill="FFFFFF"/>
        <w:spacing w:beforeAutospacing="0" w:afterAutospacing="0"/>
        <w:ind w:firstLine="480"/>
        <w:jc w:val="both"/>
      </w:pPr>
      <w:r>
        <w:t>梗死区域阳性面积/待测区域组织面积</w:t>
      </w:r>
      <w:r>
        <w:rPr>
          <w:rFonts w:hint="eastAsia"/>
        </w:rPr>
        <w:t>（</w:t>
      </w:r>
      <w:r>
        <w:rPr>
          <w:rFonts w:ascii="Helvetica" w:hAnsi="Helvetica"/>
          <w:color w:val="333333"/>
          <w:shd w:val="clear" w:color="auto" w:fill="FFFFFF"/>
        </w:rPr>
        <w:t>组织正常区呈红色，梗死区呈苍白色</w:t>
      </w:r>
      <w:r>
        <w:rPr>
          <w:rFonts w:hint="eastAsia"/>
        </w:rPr>
        <w:t>）。</w:t>
      </w:r>
    </w:p>
    <w:p w14:paraId="035AEE2B">
      <w:pPr>
        <w:pStyle w:val="5"/>
        <w:widowControl/>
        <w:shd w:val="clear" w:color="auto" w:fill="FFFFFF"/>
        <w:spacing w:beforeAutospacing="0" w:afterAutospacing="0"/>
        <w:ind w:firstLine="0" w:firstLineChars="0"/>
        <w:jc w:val="both"/>
      </w:pPr>
      <w:r>
        <w:rPr>
          <w:b/>
          <w:bCs/>
        </w:rPr>
        <w:t>2.10 大体油红（主动脉）</w:t>
      </w:r>
    </w:p>
    <w:p w14:paraId="384B63A3">
      <w:pPr>
        <w:pStyle w:val="5"/>
        <w:widowControl/>
        <w:shd w:val="clear" w:color="auto" w:fill="FFFFFF"/>
        <w:spacing w:beforeAutospacing="0" w:afterAutospacing="0"/>
        <w:ind w:firstLine="480"/>
        <w:jc w:val="both"/>
      </w:pPr>
      <w:r>
        <w:t>脂肪斑块阳性面积/血管组织面积。</w:t>
      </w:r>
    </w:p>
    <w:p w14:paraId="693A78EF">
      <w:pPr>
        <w:pStyle w:val="5"/>
        <w:widowControl/>
        <w:shd w:val="clear" w:color="auto" w:fill="FFFFFF"/>
        <w:spacing w:beforeAutospacing="0" w:afterAutospacing="0"/>
        <w:ind w:firstLine="0" w:firstLineChars="0"/>
        <w:jc w:val="both"/>
        <w:rPr>
          <w:b/>
          <w:bCs/>
        </w:rPr>
      </w:pPr>
      <w:r>
        <w:rPr>
          <w:b/>
          <w:bCs/>
        </w:rPr>
        <w:t>2.11 Goldner（骨质疏松）</w:t>
      </w:r>
    </w:p>
    <w:p w14:paraId="7E1BDFD6">
      <w:pPr>
        <w:bidi w:val="0"/>
      </w:pPr>
      <w:r>
        <w:rPr>
          <w:rFonts w:hint="eastAsia"/>
        </w:rPr>
        <w:t>骨小梁、骨皮质呈绿色，类骨质桔红色，胶原纤维呈绿色，肌纤维呈红色，红细胞呈桔红色，细胞核为紫黑色或灰黑色。Goldner三色法多用于骨磨片或不脱钙骨切片的染色。</w:t>
      </w:r>
    </w:p>
    <w:p w14:paraId="0BA26856">
      <w:pPr>
        <w:pStyle w:val="5"/>
        <w:widowControl/>
        <w:shd w:val="clear" w:color="auto" w:fill="FFFFFF"/>
        <w:spacing w:beforeAutospacing="0" w:afterAutospacing="0"/>
        <w:ind w:firstLine="480"/>
        <w:jc w:val="both"/>
        <w:rPr>
          <w:rFonts w:hint="eastAsia" w:eastAsiaTheme="minorEastAsia"/>
          <w:lang w:val="en-US" w:eastAsia="zh-CN"/>
        </w:rPr>
      </w:pPr>
      <w:r>
        <w:t>总的组织面积T.Ar；骨小梁面积Tb.Ar；骨小梁周长Tb.Pm；骨小梁面积百分比Tb.Ar骨小梁数目Tb.N</w:t>
      </w:r>
      <w:r>
        <w:rPr>
          <w:rFonts w:hint="eastAsia"/>
          <w:lang w:eastAsia="zh-CN"/>
        </w:rPr>
        <w:t>。</w:t>
      </w:r>
    </w:p>
    <w:p w14:paraId="63EC63EF">
      <w:pPr>
        <w:pStyle w:val="5"/>
        <w:widowControl/>
        <w:shd w:val="clear" w:color="auto" w:fill="FFFFFF"/>
        <w:spacing w:beforeAutospacing="0" w:afterAutospacing="0"/>
        <w:ind w:firstLine="0" w:firstLineChars="0"/>
        <w:jc w:val="both"/>
      </w:pPr>
      <w:r>
        <w:rPr>
          <w:b/>
          <w:bCs/>
        </w:rPr>
        <w:t>2.12 番红固绿</w:t>
      </w:r>
      <w:r>
        <w:t>：</w:t>
      </w:r>
      <w:r>
        <w:rPr>
          <w:rFonts w:hint="eastAsia"/>
        </w:rPr>
        <w:t>番红和固绿都是对植物的细胞壁着色，番红将植物的木质化、木栓化的细胞壁染成红色；固绿将植物纤维索细胞壁染成绿色；导管染成红色，筛管染成绿色。</w:t>
      </w:r>
    </w:p>
    <w:p w14:paraId="2EEA4ECF">
      <w:pPr>
        <w:pStyle w:val="5"/>
        <w:widowControl/>
        <w:numPr>
          <w:ilvl w:val="0"/>
          <w:numId w:val="4"/>
        </w:numPr>
        <w:shd w:val="clear" w:color="auto" w:fill="FFFFFF"/>
        <w:spacing w:beforeAutospacing="0" w:afterAutospacing="0"/>
        <w:ind w:firstLineChars="0"/>
        <w:jc w:val="both"/>
      </w:pPr>
      <w:r>
        <w:t>植物根：根面积；根直径；外皮层厚度；皮层细胞厚度；内皮层细胞厚度；中柱面积；单位面积内导管数量；中柱内木质部面积占比。</w:t>
      </w:r>
    </w:p>
    <w:p w14:paraId="605A885A">
      <w:pPr>
        <w:pStyle w:val="5"/>
        <w:widowControl/>
        <w:numPr>
          <w:ilvl w:val="0"/>
          <w:numId w:val="4"/>
        </w:numPr>
        <w:shd w:val="clear" w:color="auto" w:fill="FFFFFF"/>
        <w:spacing w:beforeAutospacing="0" w:afterAutospacing="0"/>
        <w:ind w:firstLineChars="0"/>
        <w:jc w:val="both"/>
      </w:pPr>
      <w:r>
        <w:t>植物叶：叶片厚度；叶肉厚度；角质层厚度；上表皮细胞厚度；下表皮细胞厚度；栅栏组织厚度；海绵组织厚度；泡状细胞数量；单位长度内叶脉数量；中脉中心厚度。</w:t>
      </w:r>
    </w:p>
    <w:p w14:paraId="033EB3B4">
      <w:pPr>
        <w:pStyle w:val="5"/>
        <w:widowControl/>
        <w:numPr>
          <w:ilvl w:val="0"/>
          <w:numId w:val="4"/>
        </w:numPr>
        <w:shd w:val="clear" w:color="auto" w:fill="FFFFFF"/>
        <w:spacing w:beforeAutospacing="0" w:afterAutospacing="0"/>
        <w:ind w:firstLineChars="0"/>
        <w:jc w:val="both"/>
      </w:pPr>
      <w:r>
        <w:t>植物果实：角质层厚度；表皮厚度；亚表皮厚度；表皮细胞平均面积；亚表皮细胞平均面积；表皮细胞长宽；亚表皮细胞长宽；果肉细胞平均面积。</w:t>
      </w:r>
    </w:p>
    <w:p w14:paraId="30FDE6F0">
      <w:pPr>
        <w:pStyle w:val="5"/>
        <w:widowControl/>
        <w:shd w:val="clear" w:color="auto" w:fill="FFFFFF"/>
        <w:spacing w:beforeAutospacing="0" w:afterAutospacing="0"/>
        <w:ind w:firstLine="0" w:firstLineChars="0"/>
        <w:jc w:val="both"/>
        <w:rPr>
          <w:b/>
          <w:bCs/>
        </w:rPr>
      </w:pPr>
      <w:r>
        <w:rPr>
          <w:rFonts w:hint="eastAsia"/>
          <w:b/>
          <w:bCs/>
        </w:rPr>
        <w:t>2</w:t>
      </w:r>
      <w:r>
        <w:rPr>
          <w:b/>
          <w:bCs/>
        </w:rPr>
        <w:t xml:space="preserve">.13 </w:t>
      </w:r>
      <w:r>
        <w:rPr>
          <w:rFonts w:hint="eastAsia"/>
          <w:b/>
          <w:bCs/>
        </w:rPr>
        <w:t>Van Gieson染色</w:t>
      </w:r>
    </w:p>
    <w:p w14:paraId="79442158">
      <w:pPr>
        <w:bidi w:val="0"/>
        <w:rPr>
          <w:rFonts w:hint="eastAsia"/>
        </w:rPr>
      </w:pPr>
      <w:r>
        <w:rPr>
          <w:rFonts w:hint="eastAsia"/>
        </w:rPr>
        <w:t>胶原纤维呈红色（被丽春红所染）肌纤维呈黄色（被苦味酸所染）</w:t>
      </w:r>
    </w:p>
    <w:p w14:paraId="63710658">
      <w:pPr>
        <w:pStyle w:val="5"/>
        <w:keepNext w:val="0"/>
        <w:keepLines w:val="0"/>
        <w:pageBreakBefore w:val="0"/>
        <w:widowControl/>
        <w:shd w:val="clear" w:color="auto" w:fill="FFFFFF"/>
        <w:kinsoku/>
        <w:wordWrap/>
        <w:overflowPunct/>
        <w:topLinePunct w:val="0"/>
        <w:autoSpaceDE/>
        <w:autoSpaceDN/>
        <w:bidi w:val="0"/>
        <w:adjustRightInd/>
        <w:snapToGrid/>
        <w:spacing w:before="160" w:beforeAutospacing="0" w:afterAutospacing="0"/>
        <w:ind w:firstLine="0" w:firstLineChars="0"/>
        <w:jc w:val="both"/>
        <w:textAlignment w:val="auto"/>
        <w:rPr>
          <w:rFonts w:hint="eastAsia"/>
          <w:lang w:val="en-US" w:eastAsia="zh-CN"/>
        </w:rPr>
      </w:pPr>
      <w:r>
        <w:rPr>
          <w:rFonts w:hint="eastAsia"/>
          <w:b/>
          <w:bCs/>
          <w:color w:val="FF0000"/>
          <w:lang w:val="en-US" w:eastAsia="zh-CN"/>
        </w:rPr>
        <w:t>注</w:t>
      </w:r>
      <w:r>
        <w:rPr>
          <w:rFonts w:hint="eastAsia"/>
          <w:lang w:val="en-US" w:eastAsia="zh-CN"/>
        </w:rPr>
        <w:t>：截图：除视野分析外，截图需另外收费。备注是否需要标尺，默认无标尺。为了确保分析的准确性，视野分析截图一律使用分析软件截图，其清晰度及荧光呈现效果均不如浏览软件，</w:t>
      </w:r>
      <w:r>
        <w:rPr>
          <w:rFonts w:hint="eastAsia"/>
          <w:color w:val="FF0000"/>
          <w:lang w:val="en-US" w:eastAsia="zh-CN"/>
        </w:rPr>
        <w:t>需提前告知客户</w:t>
      </w:r>
      <w:r>
        <w:rPr>
          <w:rFonts w:hint="eastAsia"/>
          <w:lang w:val="en-US" w:eastAsia="zh-CN"/>
        </w:rPr>
        <w:t>。</w:t>
      </w:r>
    </w:p>
    <w:p w14:paraId="4C0F5548">
      <w:pPr>
        <w:pStyle w:val="5"/>
        <w:widowControl/>
        <w:shd w:val="clear" w:color="auto" w:fill="FFFFFF"/>
        <w:spacing w:beforeAutospacing="0" w:afterAutospacing="0"/>
        <w:ind w:firstLine="0" w:firstLineChars="0"/>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95F40">
    <w:pPr>
      <w:keepNext w:val="0"/>
      <w:keepLines w:val="0"/>
      <w:pageBreakBefore w:val="0"/>
      <w:widowControl/>
      <w:pBdr>
        <w:top w:val="single" w:color="auto" w:sz="4" w:space="0"/>
      </w:pBdr>
      <w:kinsoku/>
      <w:wordWrap/>
      <w:overflowPunct/>
      <w:topLinePunct w:val="0"/>
      <w:bidi w:val="0"/>
      <w:adjustRightInd/>
      <w:snapToGrid/>
      <w:ind w:firstLine="0" w:firstLineChars="0"/>
      <w:jc w:val="left"/>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 xml:space="preserve">地址：浙江省杭州市凤起路43号 308             </w:t>
    </w:r>
    <w:r>
      <w:rPr>
        <w:rFonts w:hint="eastAsia" w:cs="Times New Roman"/>
        <w:b/>
        <w:sz w:val="21"/>
        <w:szCs w:val="21"/>
        <w:lang w:val="en-US" w:eastAsia="zh-CN"/>
      </w:rPr>
      <w:t xml:space="preserve">         </w:t>
    </w:r>
    <w:r>
      <w:rPr>
        <w:rFonts w:hint="default" w:ascii="Times New Roman" w:hAnsi="Times New Roman" w:eastAsia="宋体" w:cs="Times New Roman"/>
        <w:b/>
        <w:sz w:val="21"/>
        <w:szCs w:val="21"/>
      </w:rPr>
      <w:t xml:space="preserve">网址：www.haokebio.com                                      </w:t>
    </w:r>
  </w:p>
  <w:p w14:paraId="5D1B7354">
    <w:pPr>
      <w:pStyle w:val="3"/>
      <w:keepNext w:val="0"/>
      <w:keepLines w:val="0"/>
      <w:pageBreakBefore w:val="0"/>
      <w:widowControl w:val="0"/>
      <w:kinsoku/>
      <w:wordWrap/>
      <w:overflowPunct/>
      <w:topLinePunct w:val="0"/>
      <w:bidi w:val="0"/>
      <w:adjustRightInd/>
      <w:snapToGrid w:val="0"/>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 xml:space="preserve">电话：13968143408                             </w:t>
    </w:r>
    <w:r>
      <w:rPr>
        <w:rFonts w:hint="eastAsia" w:ascii="Times New Roman" w:hAnsi="Times New Roman" w:cs="Times New Roman"/>
        <w:b/>
        <w:sz w:val="21"/>
        <w:szCs w:val="21"/>
        <w:lang w:val="en-US" w:eastAsia="zh-CN"/>
      </w:rPr>
      <w:t xml:space="preserve">         </w:t>
    </w:r>
    <w:r>
      <w:rPr>
        <w:rFonts w:hint="default" w:ascii="Times New Roman" w:hAnsi="Times New Roman" w:eastAsia="宋体" w:cs="Times New Roman"/>
        <w:b/>
        <w:sz w:val="21"/>
        <w:szCs w:val="21"/>
      </w:rPr>
      <w:t>邮箱：2235184086@qq.com</w:t>
    </w:r>
  </w:p>
  <w:p w14:paraId="1DEF5E4D">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F440D">
    <w:pPr>
      <w:pStyle w:val="4"/>
      <w:keepNext w:val="0"/>
      <w:keepLines w:val="0"/>
      <w:pageBreakBefore w:val="0"/>
      <w:widowControl w:val="0"/>
      <w:pBdr>
        <w:bottom w:val="single" w:color="auto" w:sz="4" w:space="1"/>
      </w:pBdr>
      <w:kinsoku/>
      <w:wordWrap/>
      <w:overflowPunct/>
      <w:topLinePunct w:val="0"/>
      <w:bidi w:val="0"/>
      <w:adjustRightInd/>
      <w:snapToGrid w:val="0"/>
      <w:ind w:firstLine="0" w:firstLineChars="0"/>
      <w:jc w:val="center"/>
      <w:textAlignment w:val="auto"/>
    </w:pPr>
    <w:r>
      <w:rPr>
        <w:b/>
        <w:sz w:val="32"/>
        <w:szCs w:val="32"/>
      </w:rPr>
      <w:drawing>
        <wp:inline distT="0" distB="0" distL="114300" distR="114300">
          <wp:extent cx="1137285" cy="426085"/>
          <wp:effectExtent l="0" t="0" r="5715" b="635"/>
          <wp:docPr id="2" name="图片 2" descr="c4ea1a855fbd546185114096a39d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4ea1a855fbd546185114096a39d691"/>
                  <pic:cNvPicPr>
                    <a:picLocks noChangeAspect="1"/>
                  </pic:cNvPicPr>
                </pic:nvPicPr>
                <pic:blipFill>
                  <a:blip r:embed="rId1"/>
                  <a:stretch>
                    <a:fillRect/>
                  </a:stretch>
                </pic:blipFill>
                <pic:spPr>
                  <a:xfrm>
                    <a:off x="0" y="0"/>
                    <a:ext cx="1137285" cy="426085"/>
                  </a:xfrm>
                  <a:prstGeom prst="rect">
                    <a:avLst/>
                  </a:prstGeom>
                  <a:noFill/>
                  <a:ln>
                    <a:noFill/>
                  </a:ln>
                </pic:spPr>
              </pic:pic>
            </a:graphicData>
          </a:graphic>
        </wp:inline>
      </w:drawing>
    </w:r>
    <w:r>
      <w:rPr>
        <w:rFonts w:hint="eastAsia"/>
        <w:b/>
        <w:sz w:val="32"/>
        <w:szCs w:val="32"/>
      </w:rPr>
      <w:t>杭州浩克生物技术有限公司</w:t>
    </w:r>
  </w:p>
  <w:p w14:paraId="12E81495">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256A18"/>
    <w:multiLevelType w:val="multilevel"/>
    <w:tmpl w:val="48256A18"/>
    <w:lvl w:ilvl="0" w:tentative="0">
      <w:start w:val="1"/>
      <w:numFmt w:val="decimal"/>
      <w:lvlText w:val="%1."/>
      <w:lvlJc w:val="left"/>
      <w:pPr>
        <w:ind w:left="360" w:hanging="36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49599A70"/>
    <w:multiLevelType w:val="singleLevel"/>
    <w:tmpl w:val="49599A70"/>
    <w:lvl w:ilvl="0" w:tentative="0">
      <w:start w:val="1"/>
      <w:numFmt w:val="decimal"/>
      <w:suff w:val="space"/>
      <w:lvlText w:val="%1."/>
      <w:lvlJc w:val="left"/>
      <w:rPr>
        <w:rFonts w:hint="default"/>
        <w:color w:val="0000FF"/>
        <w:sz w:val="24"/>
        <w:szCs w:val="24"/>
      </w:rPr>
    </w:lvl>
  </w:abstractNum>
  <w:abstractNum w:abstractNumId="2">
    <w:nsid w:val="4AF30147"/>
    <w:multiLevelType w:val="multilevel"/>
    <w:tmpl w:val="4AF30147"/>
    <w:lvl w:ilvl="0" w:tentative="0">
      <w:start w:val="1"/>
      <w:numFmt w:val="bullet"/>
      <w:lvlText w:val=""/>
      <w:lvlJc w:val="left"/>
      <w:pPr>
        <w:ind w:left="800" w:hanging="440"/>
      </w:pPr>
      <w:rPr>
        <w:rFonts w:hint="default" w:ascii="Wingdings" w:hAnsi="Wingdings"/>
      </w:rPr>
    </w:lvl>
    <w:lvl w:ilvl="1" w:tentative="0">
      <w:start w:val="1"/>
      <w:numFmt w:val="bullet"/>
      <w:lvlText w:val=""/>
      <w:lvlJc w:val="left"/>
      <w:pPr>
        <w:ind w:left="1240" w:hanging="440"/>
      </w:pPr>
      <w:rPr>
        <w:rFonts w:hint="default" w:ascii="Wingdings" w:hAnsi="Wingdings"/>
      </w:rPr>
    </w:lvl>
    <w:lvl w:ilvl="2" w:tentative="0">
      <w:start w:val="1"/>
      <w:numFmt w:val="bullet"/>
      <w:lvlText w:val=""/>
      <w:lvlJc w:val="left"/>
      <w:pPr>
        <w:ind w:left="1680" w:hanging="440"/>
      </w:pPr>
      <w:rPr>
        <w:rFonts w:hint="default" w:ascii="Wingdings" w:hAnsi="Wingdings"/>
      </w:rPr>
    </w:lvl>
    <w:lvl w:ilvl="3" w:tentative="0">
      <w:start w:val="1"/>
      <w:numFmt w:val="bullet"/>
      <w:lvlText w:val=""/>
      <w:lvlJc w:val="left"/>
      <w:pPr>
        <w:ind w:left="2120" w:hanging="440"/>
      </w:pPr>
      <w:rPr>
        <w:rFonts w:hint="default" w:ascii="Wingdings" w:hAnsi="Wingdings"/>
      </w:rPr>
    </w:lvl>
    <w:lvl w:ilvl="4" w:tentative="0">
      <w:start w:val="1"/>
      <w:numFmt w:val="bullet"/>
      <w:lvlText w:val=""/>
      <w:lvlJc w:val="left"/>
      <w:pPr>
        <w:ind w:left="2560" w:hanging="440"/>
      </w:pPr>
      <w:rPr>
        <w:rFonts w:hint="default" w:ascii="Wingdings" w:hAnsi="Wingdings"/>
      </w:rPr>
    </w:lvl>
    <w:lvl w:ilvl="5" w:tentative="0">
      <w:start w:val="1"/>
      <w:numFmt w:val="bullet"/>
      <w:lvlText w:val=""/>
      <w:lvlJc w:val="left"/>
      <w:pPr>
        <w:ind w:left="3000" w:hanging="440"/>
      </w:pPr>
      <w:rPr>
        <w:rFonts w:hint="default" w:ascii="Wingdings" w:hAnsi="Wingdings"/>
      </w:rPr>
    </w:lvl>
    <w:lvl w:ilvl="6" w:tentative="0">
      <w:start w:val="1"/>
      <w:numFmt w:val="bullet"/>
      <w:lvlText w:val=""/>
      <w:lvlJc w:val="left"/>
      <w:pPr>
        <w:ind w:left="3440" w:hanging="440"/>
      </w:pPr>
      <w:rPr>
        <w:rFonts w:hint="default" w:ascii="Wingdings" w:hAnsi="Wingdings"/>
      </w:rPr>
    </w:lvl>
    <w:lvl w:ilvl="7" w:tentative="0">
      <w:start w:val="1"/>
      <w:numFmt w:val="bullet"/>
      <w:lvlText w:val=""/>
      <w:lvlJc w:val="left"/>
      <w:pPr>
        <w:ind w:left="3880" w:hanging="440"/>
      </w:pPr>
      <w:rPr>
        <w:rFonts w:hint="default" w:ascii="Wingdings" w:hAnsi="Wingdings"/>
      </w:rPr>
    </w:lvl>
    <w:lvl w:ilvl="8" w:tentative="0">
      <w:start w:val="1"/>
      <w:numFmt w:val="bullet"/>
      <w:lvlText w:val=""/>
      <w:lvlJc w:val="left"/>
      <w:pPr>
        <w:ind w:left="4320" w:hanging="440"/>
      </w:pPr>
      <w:rPr>
        <w:rFonts w:hint="default" w:ascii="Wingdings" w:hAnsi="Wingdings"/>
      </w:rPr>
    </w:lvl>
  </w:abstractNum>
  <w:abstractNum w:abstractNumId="3">
    <w:nsid w:val="66BC0077"/>
    <w:multiLevelType w:val="multilevel"/>
    <w:tmpl w:val="66BC0077"/>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NzhmYTRhMmJhNTYwZTNhYzYwMjQxMWZkMGE5MDgifQ=="/>
  </w:docVars>
  <w:rsids>
    <w:rsidRoot w:val="006E6D94"/>
    <w:rsid w:val="00015C4F"/>
    <w:rsid w:val="00093D85"/>
    <w:rsid w:val="000A752D"/>
    <w:rsid w:val="00124B50"/>
    <w:rsid w:val="00176A07"/>
    <w:rsid w:val="001C16C2"/>
    <w:rsid w:val="00255E32"/>
    <w:rsid w:val="0037739B"/>
    <w:rsid w:val="003A5DE3"/>
    <w:rsid w:val="003B2DA2"/>
    <w:rsid w:val="003E4FED"/>
    <w:rsid w:val="003E67AF"/>
    <w:rsid w:val="004472E9"/>
    <w:rsid w:val="005F1982"/>
    <w:rsid w:val="006316A1"/>
    <w:rsid w:val="00664CB1"/>
    <w:rsid w:val="006E6D94"/>
    <w:rsid w:val="006E78BC"/>
    <w:rsid w:val="00715608"/>
    <w:rsid w:val="00792F06"/>
    <w:rsid w:val="007F0D48"/>
    <w:rsid w:val="00953B72"/>
    <w:rsid w:val="009679D3"/>
    <w:rsid w:val="009F39E6"/>
    <w:rsid w:val="00A236B4"/>
    <w:rsid w:val="00A30F6F"/>
    <w:rsid w:val="00A90CA1"/>
    <w:rsid w:val="00AA70B5"/>
    <w:rsid w:val="00B043DF"/>
    <w:rsid w:val="00B946FE"/>
    <w:rsid w:val="00B9739C"/>
    <w:rsid w:val="00BA0674"/>
    <w:rsid w:val="00BC0E21"/>
    <w:rsid w:val="00BD3B8B"/>
    <w:rsid w:val="00BE6F82"/>
    <w:rsid w:val="00BF6A32"/>
    <w:rsid w:val="00D07CE6"/>
    <w:rsid w:val="00D13CBD"/>
    <w:rsid w:val="00DB1CD0"/>
    <w:rsid w:val="00DD2503"/>
    <w:rsid w:val="00E66019"/>
    <w:rsid w:val="00EB75D3"/>
    <w:rsid w:val="00F055B7"/>
    <w:rsid w:val="00F510E2"/>
    <w:rsid w:val="01EA32D1"/>
    <w:rsid w:val="034D74AD"/>
    <w:rsid w:val="03BB7FBE"/>
    <w:rsid w:val="060F58B2"/>
    <w:rsid w:val="0C762CD4"/>
    <w:rsid w:val="11405109"/>
    <w:rsid w:val="14184FB8"/>
    <w:rsid w:val="155E372E"/>
    <w:rsid w:val="18395986"/>
    <w:rsid w:val="19DD45BB"/>
    <w:rsid w:val="1E777908"/>
    <w:rsid w:val="1FB12ECC"/>
    <w:rsid w:val="28272DC5"/>
    <w:rsid w:val="2A2D4E7B"/>
    <w:rsid w:val="30B94562"/>
    <w:rsid w:val="30BE3615"/>
    <w:rsid w:val="34D15A5F"/>
    <w:rsid w:val="395D39C4"/>
    <w:rsid w:val="39DC7D6B"/>
    <w:rsid w:val="3B3D0EFD"/>
    <w:rsid w:val="411056F6"/>
    <w:rsid w:val="46AE2A8F"/>
    <w:rsid w:val="47C02A7A"/>
    <w:rsid w:val="49A023D3"/>
    <w:rsid w:val="4EA54143"/>
    <w:rsid w:val="56DE4E17"/>
    <w:rsid w:val="68DF53FE"/>
    <w:rsid w:val="6B177F5A"/>
    <w:rsid w:val="6DDE1FEE"/>
    <w:rsid w:val="71F4590A"/>
    <w:rsid w:val="741E6BF6"/>
    <w:rsid w:val="74BA6395"/>
    <w:rsid w:val="76C84017"/>
    <w:rsid w:val="779B1E27"/>
    <w:rsid w:val="794C3E7E"/>
    <w:rsid w:val="7A805F1E"/>
    <w:rsid w:val="7D551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Times New Roman" w:hAnsi="Times New Roman" w:eastAsiaTheme="minorEastAsia" w:cstheme="minorBidi"/>
      <w:kern w:val="2"/>
      <w:sz w:val="24"/>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rPr>
  </w:style>
  <w:style w:type="paragraph" w:styleId="10">
    <w:name w:val="List Paragraph"/>
    <w:basedOn w:val="1"/>
    <w:autoRedefine/>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2913</Words>
  <Characters>3470</Characters>
  <Lines>21</Lines>
  <Paragraphs>6</Paragraphs>
  <TotalTime>0</TotalTime>
  <ScaleCrop>false</ScaleCrop>
  <LinksUpToDate>false</LinksUpToDate>
  <CharactersWithSpaces>3520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2023-11-17T01:08:00Z</dcterms:created>
  <dc:creator>Administrator</dc:creator>
  <cp:lastModifiedBy>子兮</cp:lastModifiedBy>
  <dcterms:modified xsi:type="dcterms:W3CDTF">2024-09-29T07:09:27Z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27C9C2549CF547BFB153B8F449B3B52D_13</vt:lpwstr>
  </property>
</Properties>
</file>